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5"/>
        <w:ind w:left="686"/>
        <w:rPr>
          <w:rFonts w:ascii="黑体" w:eastAsia="黑体"/>
        </w:rPr>
      </w:pPr>
      <w:r>
        <w:rPr>
          <w:rFonts w:hint="eastAsia" w:ascii="黑体" w:eastAsia="黑体"/>
        </w:rPr>
        <w:t>附件 2</w:t>
      </w:r>
    </w:p>
    <w:p>
      <w:pPr>
        <w:pStyle w:val="7"/>
        <w:spacing w:before="10"/>
        <w:ind w:right="310"/>
        <w:jc w:val="center"/>
      </w:pPr>
      <w:r>
        <w:t>南昌大学本科学生学籍管理实施细则</w:t>
      </w:r>
    </w:p>
    <w:p>
      <w:pPr>
        <w:pStyle w:val="8"/>
        <w:spacing w:before="56"/>
        <w:ind w:right="314"/>
        <w:jc w:val="center"/>
      </w:pPr>
      <w:r>
        <w:t>（2017 年修订）</w:t>
      </w:r>
    </w:p>
    <w:p>
      <w:pPr>
        <w:pStyle w:val="2"/>
        <w:spacing w:before="5"/>
        <w:rPr>
          <w:b/>
          <w:sz w:val="51"/>
        </w:rPr>
      </w:pPr>
    </w:p>
    <w:p>
      <w:pPr>
        <w:pStyle w:val="9"/>
        <w:tabs>
          <w:tab w:val="left" w:pos="1286"/>
        </w:tabs>
        <w:ind w:left="0" w:right="318"/>
        <w:jc w:val="center"/>
      </w:pPr>
      <w:r>
        <w:t>第一章</w:t>
      </w:r>
      <w:r>
        <w:tab/>
      </w:r>
      <w:r>
        <w:t>总则</w:t>
      </w:r>
    </w:p>
    <w:p>
      <w:pPr>
        <w:pStyle w:val="2"/>
        <w:spacing w:before="18" w:line="540" w:lineRule="exact"/>
        <w:ind w:left="686" w:right="1003" w:firstLine="640"/>
        <w:jc w:val="both"/>
      </w:pPr>
      <w:r>
        <w:rPr>
          <w:rFonts w:hint="eastAsia" w:ascii="微软雅黑" w:eastAsia="微软雅黑"/>
          <w:b/>
          <w:spacing w:val="16"/>
        </w:rPr>
        <w:t xml:space="preserve">第一条 </w:t>
      </w:r>
      <w:r>
        <w:rPr>
          <w:spacing w:val="8"/>
        </w:rPr>
        <w:t>为维护南昌大学正常的教育教学秩序,规范学生</w:t>
      </w:r>
      <w:r>
        <w:rPr>
          <w:spacing w:val="-3"/>
          <w:w w:val="95"/>
        </w:rPr>
        <w:t>学籍管理，依据《中华人民共和国教育法</w:t>
      </w:r>
      <w:r>
        <w:rPr>
          <w:spacing w:val="-19"/>
          <w:w w:val="95"/>
        </w:rPr>
        <w:t xml:space="preserve">》《中华人民共和国高 </w:t>
      </w:r>
      <w:r>
        <w:rPr>
          <w:spacing w:val="-15"/>
          <w:w w:val="95"/>
        </w:rPr>
        <w:t>等教育法》《普通高等学校学生管理规定》《南昌大学章程》和</w:t>
      </w:r>
    </w:p>
    <w:p>
      <w:pPr>
        <w:pStyle w:val="2"/>
        <w:tabs>
          <w:tab w:val="left" w:pos="2627"/>
        </w:tabs>
        <w:spacing w:before="112" w:line="256" w:lineRule="auto"/>
        <w:ind w:left="1327" w:right="935" w:hanging="641"/>
      </w:pPr>
      <w:r>
        <w:t>《南昌大学学生管理规定》,结合学校实际，制定本实施细则。</w:t>
      </w:r>
      <w:r>
        <w:rPr>
          <w:rFonts w:hint="eastAsia" w:ascii="微软雅黑" w:eastAsia="微软雅黑"/>
          <w:b/>
          <w:spacing w:val="5"/>
        </w:rPr>
        <w:t>第</w:t>
      </w:r>
      <w:r>
        <w:rPr>
          <w:rFonts w:hint="eastAsia" w:ascii="微软雅黑" w:eastAsia="微软雅黑"/>
          <w:b/>
          <w:spacing w:val="7"/>
        </w:rPr>
        <w:t>二</w:t>
      </w:r>
      <w:r>
        <w:rPr>
          <w:rFonts w:hint="eastAsia" w:ascii="微软雅黑" w:eastAsia="微软雅黑"/>
          <w:b/>
        </w:rPr>
        <w:t>条</w:t>
      </w:r>
      <w:r>
        <w:rPr>
          <w:rFonts w:hint="eastAsia" w:ascii="微软雅黑" w:eastAsia="微软雅黑"/>
          <w:b/>
        </w:rPr>
        <w:tab/>
      </w:r>
      <w:r>
        <w:rPr>
          <w:spacing w:val="5"/>
        </w:rPr>
        <w:t>本细</w:t>
      </w:r>
      <w:r>
        <w:t>则</w:t>
      </w:r>
      <w:r>
        <w:rPr>
          <w:spacing w:val="5"/>
        </w:rPr>
        <w:t>适用于具有</w:t>
      </w:r>
      <w:r>
        <w:t>南</w:t>
      </w:r>
      <w:r>
        <w:rPr>
          <w:spacing w:val="5"/>
        </w:rPr>
        <w:t>昌大学入</w:t>
      </w:r>
      <w:r>
        <w:t>学</w:t>
      </w:r>
      <w:r>
        <w:rPr>
          <w:spacing w:val="5"/>
        </w:rPr>
        <w:t>资格或者学</w:t>
      </w:r>
      <w:r>
        <w:t>籍的</w:t>
      </w:r>
    </w:p>
    <w:p>
      <w:pPr>
        <w:pStyle w:val="2"/>
        <w:spacing w:before="10"/>
        <w:ind w:left="686"/>
      </w:pPr>
      <w:r>
        <w:t>全日制本科学生。</w:t>
      </w:r>
    </w:p>
    <w:p>
      <w:pPr>
        <w:pStyle w:val="9"/>
        <w:tabs>
          <w:tab w:val="left" w:pos="1283"/>
        </w:tabs>
        <w:spacing w:before="250"/>
        <w:ind w:left="0" w:right="317"/>
        <w:jc w:val="center"/>
      </w:pPr>
      <w:r>
        <w:t>第二章</w:t>
      </w:r>
      <w:r>
        <w:tab/>
      </w:r>
      <w:r>
        <w:t>入学与注册</w:t>
      </w:r>
    </w:p>
    <w:p>
      <w:pPr>
        <w:pStyle w:val="2"/>
        <w:spacing w:before="18" w:line="540" w:lineRule="exact"/>
        <w:ind w:left="686" w:right="1004" w:firstLine="640"/>
        <w:jc w:val="both"/>
      </w:pPr>
      <w:r>
        <w:rPr>
          <w:rFonts w:hint="eastAsia" w:ascii="微软雅黑" w:eastAsia="微软雅黑"/>
          <w:b/>
        </w:rPr>
        <w:t xml:space="preserve">第三条 </w:t>
      </w:r>
      <w:r>
        <w:t>按国家招生规定录取的新生，持录取通知书，按学校要求和规定的期限到校办理入学手续。因故不能按期入学的，应当事先书面向学校招生办公室请假，请假时间一般不得超过两周。未请假或者请假逾期者，除因不可抗力等正当事由以外，视为放弃入学资格。</w:t>
      </w:r>
    </w:p>
    <w:p>
      <w:pPr>
        <w:pStyle w:val="2"/>
        <w:spacing w:before="10" w:line="261" w:lineRule="auto"/>
        <w:ind w:left="686" w:right="1005" w:firstLine="640"/>
        <w:jc w:val="both"/>
      </w:pPr>
      <w:r>
        <w:rPr>
          <w:rFonts w:hint="eastAsia" w:ascii="微软雅黑" w:eastAsia="微软雅黑"/>
          <w:b/>
        </w:rPr>
        <w:t xml:space="preserve">第四条 </w:t>
      </w:r>
      <w:r>
        <w:t>新生可以在学籍注册前申请办理保留入学资格一年。保留入学资格期间不具有学籍，不享受在校学生待遇。</w:t>
      </w:r>
    </w:p>
    <w:p>
      <w:pPr>
        <w:pStyle w:val="2"/>
        <w:spacing w:before="93" w:line="316" w:lineRule="auto"/>
        <w:ind w:left="686" w:right="1004" w:firstLine="640"/>
        <w:jc w:val="both"/>
      </w:pPr>
      <w:r>
        <w:rPr>
          <w:spacing w:val="2"/>
          <w:w w:val="95"/>
        </w:rPr>
        <w:t xml:space="preserve">新生保留入学资格期满前两周应向学校申请入学，经学校 </w:t>
      </w:r>
      <w:r>
        <w:rPr>
          <w:spacing w:val="-1"/>
        </w:rPr>
        <w:t>审查合格后，办理入学手续。审查不合格的，取消入学资格； 逾期不办理入学手续且未有因不可抗力延迟等正当理由的，视</w:t>
      </w:r>
      <w:r>
        <w:t>为放弃入学资格。</w:t>
      </w:r>
    </w:p>
    <w:p>
      <w:pPr>
        <w:pStyle w:val="2"/>
        <w:spacing w:line="483" w:lineRule="exact"/>
        <w:ind w:left="1327"/>
      </w:pPr>
      <w:r>
        <w:rPr>
          <w:rFonts w:hint="eastAsia" w:ascii="微软雅黑" w:eastAsia="微软雅黑"/>
          <w:b/>
        </w:rPr>
        <w:t xml:space="preserve">第五条 </w:t>
      </w:r>
      <w:r>
        <w:t>学生入学后，学校在三个月内按照国家招生规定进</w:t>
      </w:r>
    </w:p>
    <w:p>
      <w:pPr>
        <w:pStyle w:val="2"/>
        <w:spacing w:before="52"/>
        <w:ind w:left="686"/>
      </w:pPr>
      <w:r>
        <w:t>行复查。复查内容主要包括以下方面：</w:t>
      </w:r>
    </w:p>
    <w:p>
      <w:pPr>
        <w:sectPr>
          <w:pgSz w:w="11910" w:h="16840"/>
          <w:pgMar w:top="1500" w:right="580" w:bottom="1100" w:left="900" w:header="0" w:footer="836" w:gutter="0"/>
          <w:cols w:space="720" w:num="1"/>
        </w:sectPr>
      </w:pPr>
    </w:p>
    <w:p>
      <w:pPr>
        <w:pStyle w:val="2"/>
        <w:spacing w:before="35"/>
        <w:ind w:left="1327"/>
      </w:pPr>
      <w:r>
        <w:t>（一）录取手续及程序等是否合乎国家招生规定；</w:t>
      </w:r>
    </w:p>
    <w:p>
      <w:pPr>
        <w:pStyle w:val="2"/>
        <w:spacing w:before="130"/>
        <w:ind w:left="1327"/>
      </w:pPr>
      <w:r>
        <w:t>（二）所获得的录取资格是否真实、合乎相关规定；</w:t>
      </w:r>
    </w:p>
    <w:p>
      <w:pPr>
        <w:pStyle w:val="2"/>
        <w:spacing w:before="130"/>
        <w:ind w:left="1327"/>
      </w:pPr>
      <w:r>
        <w:t>（三）本人及身份证明与录取通知、考生档案等是否一致；</w:t>
      </w:r>
    </w:p>
    <w:p>
      <w:pPr>
        <w:pStyle w:val="2"/>
        <w:spacing w:before="130" w:line="316" w:lineRule="auto"/>
        <w:ind w:left="686" w:right="1004" w:firstLine="640"/>
      </w:pPr>
      <w:r>
        <w:rPr>
          <w:spacing w:val="5"/>
          <w:w w:val="95"/>
        </w:rPr>
        <w:t>（四）</w:t>
      </w:r>
      <w:r>
        <w:rPr>
          <w:spacing w:val="2"/>
          <w:w w:val="95"/>
        </w:rPr>
        <w:t xml:space="preserve">身心健康状况是否符合报考专业或者专业类别体检 </w:t>
      </w:r>
      <w:r>
        <w:t>要求，能否保证在校正常学习、生活；</w:t>
      </w:r>
    </w:p>
    <w:p>
      <w:pPr>
        <w:pStyle w:val="2"/>
        <w:spacing w:line="316" w:lineRule="auto"/>
        <w:ind w:left="686" w:right="1004" w:firstLine="640"/>
      </w:pPr>
      <w:r>
        <w:rPr>
          <w:spacing w:val="5"/>
          <w:w w:val="95"/>
        </w:rPr>
        <w:t>（五）</w:t>
      </w:r>
      <w:r>
        <w:rPr>
          <w:spacing w:val="2"/>
          <w:w w:val="95"/>
        </w:rPr>
        <w:t xml:space="preserve">艺术、体育等特殊类型录取学生的专业水平是否符 </w:t>
      </w:r>
      <w:r>
        <w:t>合录取要求。</w:t>
      </w:r>
    </w:p>
    <w:p>
      <w:pPr>
        <w:pStyle w:val="2"/>
        <w:spacing w:line="316" w:lineRule="auto"/>
        <w:ind w:left="686" w:right="844" w:firstLine="640"/>
      </w:pPr>
      <w:r>
        <w:rPr>
          <w:spacing w:val="-5"/>
        </w:rPr>
        <w:t xml:space="preserve">复查中发现学生存在弄虚作假、徇私舞弊等情形被录取的， </w:t>
      </w:r>
      <w:r>
        <w:t>确定为复查不合格，取消学籍；情节严重的，学校移交有关部门调查处理。</w:t>
      </w:r>
    </w:p>
    <w:p>
      <w:pPr>
        <w:pStyle w:val="2"/>
        <w:spacing w:line="316" w:lineRule="auto"/>
        <w:ind w:left="686" w:right="1004" w:firstLine="640"/>
        <w:jc w:val="both"/>
      </w:pPr>
      <w:r>
        <w:rPr>
          <w:spacing w:val="2"/>
          <w:w w:val="95"/>
        </w:rPr>
        <w:t xml:space="preserve">复查中发现学生身心状况不适宜在校学习，经学校指定的 </w:t>
      </w:r>
      <w:r>
        <w:rPr>
          <w:spacing w:val="-1"/>
        </w:rPr>
        <w:t>二级甲等以上医院诊断，需要在家休养的，可以按照第四条的</w:t>
      </w:r>
      <w:r>
        <w:t>规定申请办理保留入学资格一年。</w:t>
      </w:r>
    </w:p>
    <w:p>
      <w:pPr>
        <w:pStyle w:val="2"/>
        <w:tabs>
          <w:tab w:val="left" w:pos="2627"/>
        </w:tabs>
        <w:spacing w:line="484" w:lineRule="exact"/>
        <w:ind w:left="1327"/>
      </w:pPr>
      <w:r>
        <w:rPr>
          <w:rFonts w:hint="eastAsia" w:ascii="微软雅黑" w:eastAsia="微软雅黑"/>
          <w:b/>
          <w:spacing w:val="5"/>
        </w:rPr>
        <w:t>第</w:t>
      </w:r>
      <w:r>
        <w:rPr>
          <w:rFonts w:hint="eastAsia" w:ascii="微软雅黑" w:eastAsia="微软雅黑"/>
          <w:b/>
          <w:spacing w:val="7"/>
        </w:rPr>
        <w:t>六</w:t>
      </w:r>
      <w:r>
        <w:rPr>
          <w:rFonts w:hint="eastAsia" w:ascii="微软雅黑" w:eastAsia="微软雅黑"/>
          <w:b/>
        </w:rPr>
        <w:t>条</w:t>
      </w:r>
      <w:r>
        <w:rPr>
          <w:rFonts w:hint="eastAsia" w:ascii="微软雅黑" w:eastAsia="微软雅黑"/>
          <w:b/>
        </w:rPr>
        <w:tab/>
      </w:r>
      <w:r>
        <w:rPr>
          <w:spacing w:val="5"/>
        </w:rPr>
        <w:t>每学</w:t>
      </w:r>
      <w:r>
        <w:t>期</w:t>
      </w:r>
      <w:r>
        <w:rPr>
          <w:spacing w:val="5"/>
        </w:rPr>
        <w:t>开学时，学</w:t>
      </w:r>
      <w:r>
        <w:t>生</w:t>
      </w:r>
      <w:r>
        <w:rPr>
          <w:spacing w:val="5"/>
        </w:rPr>
        <w:t>应按学校</w:t>
      </w:r>
      <w:r>
        <w:t>规</w:t>
      </w:r>
      <w:r>
        <w:rPr>
          <w:spacing w:val="5"/>
        </w:rPr>
        <w:t>定报到日期</w:t>
      </w:r>
      <w:r>
        <w:t>办理</w:t>
      </w:r>
    </w:p>
    <w:p>
      <w:pPr>
        <w:pStyle w:val="2"/>
        <w:spacing w:before="44" w:line="316" w:lineRule="auto"/>
        <w:ind w:left="686" w:right="1004"/>
        <w:jc w:val="both"/>
      </w:pPr>
      <w:r>
        <w:t>注册手续。不能如期注册者，应当办理请假手续暂缓注册。学生未办理请假手续或者请假逾期两周以上未注册者，视为放弃学籍，按自动退学处理。未按学校规定缴纳学费或者有其他不符合注册条件的，不予注册。</w:t>
      </w:r>
    </w:p>
    <w:p>
      <w:pPr>
        <w:pStyle w:val="2"/>
        <w:spacing w:line="316" w:lineRule="auto"/>
        <w:ind w:left="686" w:right="1006" w:firstLine="640"/>
      </w:pPr>
      <w:r>
        <w:rPr>
          <w:spacing w:val="15"/>
          <w:w w:val="95"/>
        </w:rPr>
        <w:t xml:space="preserve">家庭经济困难的学生可以申请助学贷款或者其他形式资 </w:t>
      </w:r>
      <w:r>
        <w:rPr>
          <w:spacing w:val="15"/>
        </w:rPr>
        <w:t>助，办理有关手续后注册。</w:t>
      </w:r>
    </w:p>
    <w:p>
      <w:pPr>
        <w:pStyle w:val="2"/>
        <w:tabs>
          <w:tab w:val="left" w:pos="2627"/>
        </w:tabs>
        <w:spacing w:line="485" w:lineRule="exact"/>
        <w:ind w:left="1327"/>
      </w:pPr>
      <w:r>
        <w:rPr>
          <w:rFonts w:hint="eastAsia" w:ascii="微软雅黑" w:eastAsia="微软雅黑"/>
          <w:b/>
          <w:spacing w:val="5"/>
        </w:rPr>
        <w:t>第</w:t>
      </w:r>
      <w:r>
        <w:rPr>
          <w:rFonts w:hint="eastAsia" w:ascii="微软雅黑" w:eastAsia="微软雅黑"/>
          <w:b/>
          <w:spacing w:val="7"/>
        </w:rPr>
        <w:t>七</w:t>
      </w:r>
      <w:r>
        <w:rPr>
          <w:rFonts w:hint="eastAsia" w:ascii="微软雅黑" w:eastAsia="微软雅黑"/>
          <w:b/>
        </w:rPr>
        <w:t>条</w:t>
      </w:r>
      <w:r>
        <w:rPr>
          <w:rFonts w:hint="eastAsia" w:ascii="微软雅黑" w:eastAsia="微软雅黑"/>
          <w:b/>
        </w:rPr>
        <w:tab/>
      </w:r>
      <w:r>
        <w:rPr>
          <w:spacing w:val="5"/>
          <w:w w:val="95"/>
        </w:rPr>
        <w:t>学生</w:t>
      </w:r>
      <w:r>
        <w:rPr>
          <w:w w:val="95"/>
        </w:rPr>
        <w:t>学</w:t>
      </w:r>
      <w:r>
        <w:rPr>
          <w:spacing w:val="5"/>
          <w:w w:val="95"/>
        </w:rPr>
        <w:t>籍中的个人</w:t>
      </w:r>
      <w:r>
        <w:rPr>
          <w:w w:val="95"/>
        </w:rPr>
        <w:t>基</w:t>
      </w:r>
      <w:r>
        <w:rPr>
          <w:spacing w:val="5"/>
          <w:w w:val="95"/>
        </w:rPr>
        <w:t>本信息以</w:t>
      </w:r>
      <w:r>
        <w:rPr>
          <w:w w:val="95"/>
        </w:rPr>
        <w:t>高</w:t>
      </w:r>
      <w:r>
        <w:rPr>
          <w:spacing w:val="5"/>
          <w:w w:val="95"/>
        </w:rPr>
        <w:t>考录取的基</w:t>
      </w:r>
      <w:r>
        <w:rPr>
          <w:w w:val="95"/>
        </w:rPr>
        <w:t>本信</w:t>
      </w:r>
    </w:p>
    <w:p>
      <w:pPr>
        <w:pStyle w:val="2"/>
        <w:spacing w:before="48" w:line="316" w:lineRule="auto"/>
        <w:ind w:left="686" w:right="844"/>
      </w:pPr>
      <w:r>
        <w:t>息为准，一般不予更改，若确属通过公安户籍部门更名，或身</w:t>
      </w:r>
      <w:r>
        <w:rPr>
          <w:spacing w:val="-7"/>
        </w:rPr>
        <w:t>份证号错号、重号的，由学生本人提交申请，并附学生身份证、</w:t>
      </w:r>
      <w:r>
        <w:t>户口本、户籍信息变更证明等有法定效力的相应证明文件，经学校校院两级审查，认为理由合理、充分的，按有关规定提交</w:t>
      </w:r>
    </w:p>
    <w:p>
      <w:pPr>
        <w:spacing w:line="316" w:lineRule="auto"/>
        <w:sectPr>
          <w:pgSz w:w="11910" w:h="16840"/>
          <w:pgMar w:top="1500" w:right="580" w:bottom="1100" w:left="900" w:header="0" w:footer="836" w:gutter="0"/>
          <w:cols w:space="720" w:num="1"/>
        </w:sectPr>
      </w:pPr>
    </w:p>
    <w:p>
      <w:pPr>
        <w:pStyle w:val="2"/>
        <w:spacing w:before="35"/>
        <w:ind w:left="686"/>
      </w:pPr>
      <w:r>
        <w:t>教育行政部门更改。</w:t>
      </w:r>
    </w:p>
    <w:p>
      <w:pPr>
        <w:pStyle w:val="9"/>
        <w:tabs>
          <w:tab w:val="left" w:pos="4571"/>
        </w:tabs>
        <w:spacing w:before="250"/>
        <w:ind w:left="3288"/>
      </w:pPr>
      <w:r>
        <w:t>第三章</w:t>
      </w:r>
      <w:r>
        <w:tab/>
      </w:r>
      <w:r>
        <w:t>学制与学习年限</w:t>
      </w:r>
    </w:p>
    <w:p>
      <w:pPr>
        <w:pStyle w:val="2"/>
        <w:spacing w:before="18" w:line="540" w:lineRule="exact"/>
        <w:ind w:left="686" w:right="846" w:firstLine="640"/>
        <w:jc w:val="both"/>
      </w:pPr>
      <w:r>
        <w:rPr>
          <w:rFonts w:hint="eastAsia" w:ascii="微软雅黑" w:eastAsia="微软雅黑"/>
          <w:b/>
        </w:rPr>
        <w:t xml:space="preserve">第八条  </w:t>
      </w:r>
      <w:r>
        <w:t>普通本科专业学制一般为四年，建筑学、城乡规划以及部分医学类本科专业等学制为五年。学生一般在规定的学制年限（不含休学、保留入学资格及保留学籍）内完成学业。</w:t>
      </w:r>
    </w:p>
    <w:p>
      <w:pPr>
        <w:pStyle w:val="2"/>
        <w:spacing w:before="112" w:line="316" w:lineRule="auto"/>
        <w:ind w:left="686" w:right="1002" w:firstLine="640"/>
        <w:jc w:val="both"/>
      </w:pPr>
      <w:r>
        <w:rPr>
          <w:spacing w:val="2"/>
          <w:w w:val="95"/>
        </w:rPr>
        <w:t xml:space="preserve">学生可根据自身的具体情况延长在校学习时间，学制为四 </w:t>
      </w:r>
      <w:r>
        <w:rPr>
          <w:spacing w:val="1"/>
        </w:rPr>
        <w:t>年的普通本科专业最长学习年限为六年</w:t>
      </w:r>
      <w:r>
        <w:rPr>
          <w:spacing w:val="5"/>
        </w:rPr>
        <w:t>（</w:t>
      </w:r>
      <w:r>
        <w:t>含休学、保留入学资格及保留学籍</w:t>
      </w:r>
      <w:r>
        <w:rPr>
          <w:spacing w:val="-97"/>
        </w:rPr>
        <w:t>）</w:t>
      </w:r>
      <w:r>
        <w:rPr>
          <w:spacing w:val="-13"/>
        </w:rPr>
        <w:t>，在校学习时间可以为三至六年；学制为五年的</w:t>
      </w:r>
      <w:r>
        <w:rPr>
          <w:spacing w:val="1"/>
        </w:rPr>
        <w:t>普通本科专业最长学习年限为七年</w:t>
      </w:r>
      <w:r>
        <w:rPr>
          <w:spacing w:val="5"/>
        </w:rPr>
        <w:t>（</w:t>
      </w:r>
      <w:r>
        <w:t>含休学、保留入学资格及</w:t>
      </w:r>
      <w:r>
        <w:rPr>
          <w:w w:val="99"/>
        </w:rPr>
        <w:t>保留学籍</w:t>
      </w:r>
      <w:r>
        <w:rPr>
          <w:spacing w:val="-161"/>
          <w:w w:val="99"/>
        </w:rPr>
        <w:t>）</w:t>
      </w:r>
      <w:r>
        <w:rPr>
          <w:w w:val="99"/>
        </w:rPr>
        <w:t>，在校学习时间为四至七年。</w:t>
      </w:r>
    </w:p>
    <w:p>
      <w:pPr>
        <w:pStyle w:val="9"/>
        <w:tabs>
          <w:tab w:val="left" w:pos="1283"/>
        </w:tabs>
        <w:spacing w:before="114"/>
        <w:ind w:left="0" w:right="317"/>
        <w:jc w:val="center"/>
      </w:pPr>
      <w:r>
        <w:t>第四章</w:t>
      </w:r>
      <w:r>
        <w:tab/>
      </w:r>
      <w:r>
        <w:t>学分与课程</w:t>
      </w:r>
    </w:p>
    <w:p>
      <w:pPr>
        <w:pStyle w:val="2"/>
        <w:tabs>
          <w:tab w:val="left" w:pos="2647"/>
        </w:tabs>
        <w:spacing w:before="27"/>
        <w:ind w:left="1327"/>
      </w:pPr>
      <w:r>
        <w:rPr>
          <w:rFonts w:hint="eastAsia" w:ascii="微软雅黑" w:eastAsia="微软雅黑"/>
          <w:b/>
          <w:spacing w:val="9"/>
        </w:rPr>
        <w:t>第九</w:t>
      </w:r>
      <w:r>
        <w:rPr>
          <w:rFonts w:hint="eastAsia" w:ascii="微软雅黑" w:eastAsia="微软雅黑"/>
          <w:b/>
        </w:rPr>
        <w:t>条</w:t>
      </w:r>
      <w:r>
        <w:rPr>
          <w:rFonts w:hint="eastAsia" w:ascii="微软雅黑" w:eastAsia="微软雅黑"/>
          <w:b/>
        </w:rPr>
        <w:tab/>
      </w:r>
      <w:r>
        <w:rPr>
          <w:spacing w:val="7"/>
        </w:rPr>
        <w:t>学</w:t>
      </w:r>
      <w:r>
        <w:rPr>
          <w:spacing w:val="9"/>
        </w:rPr>
        <w:t>制</w:t>
      </w:r>
      <w:r>
        <w:rPr>
          <w:spacing w:val="7"/>
        </w:rPr>
        <w:t>为</w:t>
      </w:r>
      <w:r>
        <w:rPr>
          <w:spacing w:val="9"/>
        </w:rPr>
        <w:t>四</w:t>
      </w:r>
      <w:r>
        <w:rPr>
          <w:spacing w:val="7"/>
        </w:rPr>
        <w:t>年的</w:t>
      </w:r>
      <w:r>
        <w:rPr>
          <w:spacing w:val="9"/>
        </w:rPr>
        <w:t>专</w:t>
      </w:r>
      <w:r>
        <w:rPr>
          <w:spacing w:val="7"/>
        </w:rPr>
        <w:t>业</w:t>
      </w:r>
      <w:r>
        <w:rPr>
          <w:spacing w:val="9"/>
        </w:rPr>
        <w:t>，</w:t>
      </w:r>
      <w:r>
        <w:rPr>
          <w:spacing w:val="7"/>
        </w:rPr>
        <w:t>毕业</w:t>
      </w:r>
      <w:r>
        <w:rPr>
          <w:spacing w:val="9"/>
        </w:rPr>
        <w:t>最</w:t>
      </w:r>
      <w:r>
        <w:rPr>
          <w:spacing w:val="7"/>
        </w:rPr>
        <w:t>低</w:t>
      </w:r>
      <w:r>
        <w:rPr>
          <w:spacing w:val="9"/>
        </w:rPr>
        <w:t>学</w:t>
      </w:r>
      <w:r>
        <w:rPr>
          <w:spacing w:val="7"/>
        </w:rPr>
        <w:t>分</w:t>
      </w:r>
      <w:r>
        <w:t>为</w:t>
      </w:r>
      <w:r>
        <w:rPr>
          <w:spacing w:val="-78"/>
        </w:rPr>
        <w:t xml:space="preserve"> </w:t>
      </w:r>
      <w:r>
        <w:t>156</w:t>
      </w:r>
      <w:r>
        <w:rPr>
          <w:spacing w:val="-81"/>
        </w:rPr>
        <w:t xml:space="preserve"> </w:t>
      </w:r>
      <w:r>
        <w:t>至</w:t>
      </w:r>
      <w:r>
        <w:rPr>
          <w:spacing w:val="-77"/>
        </w:rPr>
        <w:t xml:space="preserve"> </w:t>
      </w:r>
      <w:r>
        <w:t>164</w:t>
      </w:r>
    </w:p>
    <w:p>
      <w:pPr>
        <w:pStyle w:val="2"/>
        <w:spacing w:before="53"/>
        <w:ind w:left="686"/>
      </w:pPr>
      <w:r>
        <w:rPr>
          <w:spacing w:val="-4"/>
        </w:rPr>
        <w:t xml:space="preserve">学分；学制为五年的专业，毕业最低学分医学类专业为 </w:t>
      </w:r>
      <w:r>
        <w:t>206</w:t>
      </w:r>
      <w:r>
        <w:rPr>
          <w:spacing w:val="-44"/>
        </w:rPr>
        <w:t xml:space="preserve"> 至</w:t>
      </w:r>
    </w:p>
    <w:p>
      <w:pPr>
        <w:pStyle w:val="2"/>
        <w:spacing w:before="130" w:line="316" w:lineRule="auto"/>
        <w:ind w:left="686" w:right="1005"/>
        <w:jc w:val="both"/>
      </w:pPr>
      <w:r>
        <w:t>210</w:t>
      </w:r>
      <w:r>
        <w:rPr>
          <w:spacing w:val="-28"/>
        </w:rPr>
        <w:t xml:space="preserve"> 学分，其他类为 </w:t>
      </w:r>
      <w:r>
        <w:t>200</w:t>
      </w:r>
      <w:r>
        <w:rPr>
          <w:spacing w:val="-56"/>
        </w:rPr>
        <w:t xml:space="preserve"> 至 </w:t>
      </w:r>
      <w:r>
        <w:t>204</w:t>
      </w:r>
      <w:r>
        <w:rPr>
          <w:spacing w:val="-14"/>
        </w:rPr>
        <w:t xml:space="preserve"> 学分。具体最低学分在各专业培养方案中予以规定。各门课程以学分为单位计算学习量。</w:t>
      </w:r>
    </w:p>
    <w:p>
      <w:pPr>
        <w:pStyle w:val="2"/>
        <w:tabs>
          <w:tab w:val="left" w:pos="2627"/>
        </w:tabs>
        <w:spacing w:line="485" w:lineRule="exact"/>
        <w:ind w:left="1327"/>
      </w:pPr>
      <w:r>
        <w:rPr>
          <w:rFonts w:hint="eastAsia" w:ascii="微软雅黑" w:eastAsia="微软雅黑"/>
          <w:b/>
          <w:spacing w:val="5"/>
        </w:rPr>
        <w:t>第</w:t>
      </w:r>
      <w:r>
        <w:rPr>
          <w:rFonts w:hint="eastAsia" w:ascii="微软雅黑" w:eastAsia="微软雅黑"/>
          <w:b/>
          <w:spacing w:val="7"/>
        </w:rPr>
        <w:t>十</w:t>
      </w:r>
      <w:r>
        <w:rPr>
          <w:rFonts w:hint="eastAsia" w:ascii="微软雅黑" w:eastAsia="微软雅黑"/>
          <w:b/>
        </w:rPr>
        <w:t>条</w:t>
      </w:r>
      <w:r>
        <w:rPr>
          <w:rFonts w:hint="eastAsia" w:ascii="微软雅黑" w:eastAsia="微软雅黑"/>
          <w:b/>
        </w:rPr>
        <w:tab/>
      </w:r>
      <w:r>
        <w:rPr>
          <w:spacing w:val="5"/>
        </w:rPr>
        <w:t>各专</w:t>
      </w:r>
      <w:r>
        <w:t>业</w:t>
      </w:r>
      <w:r>
        <w:rPr>
          <w:spacing w:val="5"/>
        </w:rPr>
        <w:t>课程由第一</w:t>
      </w:r>
      <w:r>
        <w:t>课</w:t>
      </w:r>
      <w:r>
        <w:rPr>
          <w:spacing w:val="5"/>
        </w:rPr>
        <w:t>堂和第二</w:t>
      </w:r>
      <w:r>
        <w:t>课</w:t>
      </w:r>
      <w:r>
        <w:rPr>
          <w:spacing w:val="5"/>
        </w:rPr>
        <w:t>堂构成。第</w:t>
      </w:r>
      <w:r>
        <w:t>一课</w:t>
      </w:r>
    </w:p>
    <w:p>
      <w:pPr>
        <w:pStyle w:val="2"/>
        <w:spacing w:before="52" w:line="316" w:lineRule="auto"/>
        <w:ind w:left="686" w:right="1002"/>
        <w:jc w:val="both"/>
      </w:pPr>
      <w:r>
        <w:rPr>
          <w:spacing w:val="-3"/>
          <w:w w:val="95"/>
        </w:rPr>
        <w:t>堂课程包括通识教育课程</w:t>
      </w:r>
      <w:r>
        <w:rPr>
          <w:w w:val="95"/>
        </w:rPr>
        <w:t>（Ⅰ类通识课和Ⅱ类通识课</w:t>
      </w:r>
      <w:r>
        <w:rPr>
          <w:spacing w:val="-161"/>
          <w:w w:val="95"/>
        </w:rPr>
        <w:t>）</w:t>
      </w:r>
      <w:r>
        <w:rPr>
          <w:spacing w:val="-9"/>
          <w:w w:val="95"/>
        </w:rPr>
        <w:t xml:space="preserve">、学科基 </w:t>
      </w:r>
      <w:r>
        <w:rPr>
          <w:spacing w:val="2"/>
        </w:rPr>
        <w:t>础课程、专业课程</w:t>
      </w:r>
      <w:r>
        <w:rPr>
          <w:spacing w:val="5"/>
        </w:rPr>
        <w:t>（</w:t>
      </w:r>
      <w:r>
        <w:rPr>
          <w:spacing w:val="2"/>
        </w:rPr>
        <w:t>专业主干课和专业选修课</w:t>
      </w:r>
      <w:r>
        <w:rPr>
          <w:spacing w:val="5"/>
        </w:rPr>
        <w:t>）</w:t>
      </w:r>
      <w:r>
        <w:t>及创新创业类</w:t>
      </w:r>
      <w:r>
        <w:rPr>
          <w:spacing w:val="-1"/>
        </w:rPr>
        <w:t>课程；第二课堂课程以学校大学生素质拓展与第二课堂学分认</w:t>
      </w:r>
      <w:r>
        <w:t>证实施细则的相关规定为准。</w:t>
      </w:r>
    </w:p>
    <w:p>
      <w:pPr>
        <w:pStyle w:val="2"/>
        <w:tabs>
          <w:tab w:val="left" w:pos="2951"/>
        </w:tabs>
        <w:spacing w:line="483" w:lineRule="exact"/>
        <w:ind w:left="1327"/>
      </w:pPr>
      <w:r>
        <w:rPr>
          <w:rFonts w:hint="eastAsia" w:ascii="微软雅黑" w:eastAsia="微软雅黑"/>
          <w:b/>
          <w:spacing w:val="5"/>
        </w:rPr>
        <w:t>第</w:t>
      </w:r>
      <w:r>
        <w:rPr>
          <w:rFonts w:hint="eastAsia" w:ascii="微软雅黑" w:eastAsia="微软雅黑"/>
          <w:b/>
          <w:spacing w:val="7"/>
        </w:rPr>
        <w:t>十</w:t>
      </w:r>
      <w:r>
        <w:rPr>
          <w:rFonts w:hint="eastAsia" w:ascii="微软雅黑" w:eastAsia="微软雅黑"/>
          <w:b/>
          <w:spacing w:val="5"/>
        </w:rPr>
        <w:t>一</w:t>
      </w:r>
      <w:r>
        <w:rPr>
          <w:rFonts w:hint="eastAsia" w:ascii="微软雅黑" w:eastAsia="微软雅黑"/>
          <w:b/>
        </w:rPr>
        <w:t>条</w:t>
      </w:r>
      <w:r>
        <w:rPr>
          <w:rFonts w:hint="eastAsia" w:ascii="微软雅黑" w:eastAsia="微软雅黑"/>
          <w:b/>
        </w:rPr>
        <w:tab/>
      </w:r>
      <w:r>
        <w:rPr>
          <w:spacing w:val="5"/>
        </w:rPr>
        <w:t>各专</w:t>
      </w:r>
      <w:r>
        <w:t>业</w:t>
      </w:r>
      <w:r>
        <w:rPr>
          <w:spacing w:val="5"/>
        </w:rPr>
        <w:t>培养方案</w:t>
      </w:r>
      <w:r>
        <w:t>确</w:t>
      </w:r>
      <w:r>
        <w:rPr>
          <w:spacing w:val="5"/>
        </w:rPr>
        <w:t>定该专业</w:t>
      </w:r>
      <w:r>
        <w:t>具</w:t>
      </w:r>
      <w:r>
        <w:rPr>
          <w:spacing w:val="5"/>
        </w:rPr>
        <w:t>体学分数</w:t>
      </w:r>
      <w:r>
        <w:t>和</w:t>
      </w:r>
      <w:r>
        <w:rPr>
          <w:spacing w:val="5"/>
        </w:rPr>
        <w:t>学</w:t>
      </w:r>
      <w:r>
        <w:t>习</w:t>
      </w:r>
    </w:p>
    <w:p>
      <w:pPr>
        <w:pStyle w:val="2"/>
        <w:spacing w:before="53" w:line="316" w:lineRule="auto"/>
        <w:ind w:left="686" w:right="1004"/>
        <w:jc w:val="both"/>
      </w:pPr>
      <w:r>
        <w:t>课程。学生应当按照所在专业培养方案的规定完成指定课程的修读。</w:t>
      </w:r>
    </w:p>
    <w:p>
      <w:pPr>
        <w:pStyle w:val="2"/>
        <w:tabs>
          <w:tab w:val="left" w:pos="2951"/>
        </w:tabs>
        <w:spacing w:line="485" w:lineRule="exact"/>
        <w:ind w:left="1327"/>
      </w:pPr>
      <w:r>
        <w:rPr>
          <w:rFonts w:hint="eastAsia" w:ascii="微软雅黑" w:eastAsia="微软雅黑"/>
          <w:b/>
          <w:spacing w:val="5"/>
        </w:rPr>
        <w:t>第</w:t>
      </w:r>
      <w:r>
        <w:rPr>
          <w:rFonts w:hint="eastAsia" w:ascii="微软雅黑" w:eastAsia="微软雅黑"/>
          <w:b/>
          <w:spacing w:val="7"/>
        </w:rPr>
        <w:t>十</w:t>
      </w:r>
      <w:r>
        <w:rPr>
          <w:rFonts w:hint="eastAsia" w:ascii="微软雅黑" w:eastAsia="微软雅黑"/>
          <w:b/>
          <w:spacing w:val="5"/>
        </w:rPr>
        <w:t>二</w:t>
      </w:r>
      <w:r>
        <w:rPr>
          <w:rFonts w:hint="eastAsia" w:ascii="微软雅黑" w:eastAsia="微软雅黑"/>
          <w:b/>
        </w:rPr>
        <w:t>条</w:t>
      </w:r>
      <w:r>
        <w:rPr>
          <w:rFonts w:hint="eastAsia" w:ascii="微软雅黑" w:eastAsia="微软雅黑"/>
          <w:b/>
        </w:rPr>
        <w:tab/>
      </w:r>
      <w:r>
        <w:rPr>
          <w:spacing w:val="5"/>
          <w:w w:val="95"/>
        </w:rPr>
        <w:t>学生</w:t>
      </w:r>
      <w:r>
        <w:rPr>
          <w:w w:val="95"/>
        </w:rPr>
        <w:t>每</w:t>
      </w:r>
      <w:r>
        <w:rPr>
          <w:spacing w:val="5"/>
          <w:w w:val="95"/>
        </w:rPr>
        <w:t>学期应在</w:t>
      </w:r>
      <w:r>
        <w:rPr>
          <w:w w:val="95"/>
        </w:rPr>
        <w:t>学</w:t>
      </w:r>
      <w:r>
        <w:rPr>
          <w:spacing w:val="5"/>
          <w:w w:val="95"/>
        </w:rPr>
        <w:t>校规定时</w:t>
      </w:r>
      <w:r>
        <w:rPr>
          <w:w w:val="95"/>
        </w:rPr>
        <w:t>间</w:t>
      </w:r>
      <w:r>
        <w:rPr>
          <w:spacing w:val="5"/>
          <w:w w:val="95"/>
        </w:rPr>
        <w:t>内办理缴</w:t>
      </w:r>
      <w:r>
        <w:rPr>
          <w:w w:val="95"/>
        </w:rPr>
        <w:t>费</w:t>
      </w:r>
      <w:r>
        <w:rPr>
          <w:spacing w:val="5"/>
          <w:w w:val="95"/>
        </w:rPr>
        <w:t>、</w:t>
      </w:r>
      <w:r>
        <w:rPr>
          <w:w w:val="95"/>
        </w:rPr>
        <w:t>选</w:t>
      </w:r>
    </w:p>
    <w:p>
      <w:pPr>
        <w:pStyle w:val="2"/>
        <w:spacing w:before="52"/>
        <w:ind w:left="686"/>
        <w:jc w:val="both"/>
      </w:pPr>
      <w:r>
        <w:rPr>
          <w:w w:val="95"/>
        </w:rPr>
        <w:t>课手续。各类课程均有其系统性和连续性，学生选课时应当先</w:t>
      </w:r>
    </w:p>
    <w:p>
      <w:pPr>
        <w:jc w:val="both"/>
        <w:sectPr>
          <w:pgSz w:w="11910" w:h="16840"/>
          <w:pgMar w:top="1500" w:right="580" w:bottom="1100" w:left="900" w:header="0" w:footer="836" w:gutter="0"/>
          <w:cols w:space="720" w:num="1"/>
        </w:sectPr>
      </w:pPr>
    </w:p>
    <w:p>
      <w:pPr>
        <w:pStyle w:val="2"/>
        <w:spacing w:before="35"/>
        <w:ind w:left="686"/>
      </w:pPr>
      <w:r>
        <w:t>修读先行课程，再修读后续课程。</w:t>
      </w:r>
    </w:p>
    <w:p>
      <w:pPr>
        <w:pStyle w:val="9"/>
        <w:tabs>
          <w:tab w:val="left" w:pos="5375"/>
        </w:tabs>
        <w:spacing w:before="250"/>
        <w:ind w:left="4089"/>
      </w:pPr>
      <w:r>
        <w:t>第五章</w:t>
      </w:r>
      <w:r>
        <w:tab/>
      </w:r>
      <w:r>
        <w:t>学费</w:t>
      </w:r>
    </w:p>
    <w:p>
      <w:pPr>
        <w:pStyle w:val="2"/>
        <w:spacing w:before="18" w:line="540" w:lineRule="exact"/>
        <w:ind w:left="686" w:right="1004" w:firstLine="640"/>
        <w:jc w:val="both"/>
      </w:pPr>
      <w:r>
        <w:rPr>
          <w:rFonts w:hint="eastAsia" w:ascii="微软雅黑" w:eastAsia="微软雅黑"/>
          <w:b/>
          <w:spacing w:val="8"/>
        </w:rPr>
        <w:t xml:space="preserve">第十三条 </w:t>
      </w:r>
      <w:r>
        <w:rPr>
          <w:spacing w:val="-1"/>
        </w:rPr>
        <w:t>学校按照物价部门批准的收费标准并采取学分制学费方式收费。学分制学费是指将原学年学费改按专业学费和学分学费两部分计收的教育收费制度。学校在原学年学费中</w:t>
      </w:r>
      <w:r>
        <w:rPr>
          <w:spacing w:val="-9"/>
        </w:rPr>
        <w:t xml:space="preserve">划出一定比例作为学分学费，并统一规定学分收费标准为 </w:t>
      </w:r>
      <w:r>
        <w:t>80</w:t>
      </w:r>
      <w:r>
        <w:rPr>
          <w:spacing w:val="-43"/>
        </w:rPr>
        <w:t xml:space="preserve"> 元</w:t>
      </w:r>
    </w:p>
    <w:p>
      <w:pPr>
        <w:pStyle w:val="2"/>
        <w:spacing w:before="112" w:line="316" w:lineRule="auto"/>
        <w:ind w:left="686" w:right="1002"/>
        <w:jc w:val="both"/>
      </w:pPr>
      <w:r>
        <w:t>/</w:t>
      </w:r>
      <w:r>
        <w:rPr>
          <w:spacing w:val="-9"/>
        </w:rPr>
        <w:t>学分；专业学费为物价部门已核准的原学年学费减去学分学费</w:t>
      </w:r>
      <w:r>
        <w:rPr>
          <w:spacing w:val="-1"/>
        </w:rPr>
        <w:t>之差。学生在学制年限内完成学业且所修学分为所在专业毕业</w:t>
      </w:r>
      <w:r>
        <w:t>最低要求学分，则其所缴纳的学费等于原学年学费。</w:t>
      </w:r>
    </w:p>
    <w:p>
      <w:pPr>
        <w:pStyle w:val="2"/>
        <w:tabs>
          <w:tab w:val="left" w:pos="2951"/>
        </w:tabs>
        <w:spacing w:line="484" w:lineRule="exact"/>
        <w:ind w:left="1327"/>
      </w:pPr>
      <w:r>
        <w:rPr>
          <w:rFonts w:hint="eastAsia" w:ascii="微软雅黑" w:eastAsia="微软雅黑"/>
          <w:b/>
          <w:spacing w:val="5"/>
        </w:rPr>
        <w:t>第</w:t>
      </w:r>
      <w:r>
        <w:rPr>
          <w:rFonts w:hint="eastAsia" w:ascii="微软雅黑" w:eastAsia="微软雅黑"/>
          <w:b/>
          <w:spacing w:val="7"/>
        </w:rPr>
        <w:t>十</w:t>
      </w:r>
      <w:r>
        <w:rPr>
          <w:rFonts w:hint="eastAsia" w:ascii="微软雅黑" w:eastAsia="微软雅黑"/>
          <w:b/>
          <w:spacing w:val="5"/>
        </w:rPr>
        <w:t>四</w:t>
      </w:r>
      <w:r>
        <w:rPr>
          <w:rFonts w:hint="eastAsia" w:ascii="微软雅黑" w:eastAsia="微软雅黑"/>
          <w:b/>
        </w:rPr>
        <w:t>条</w:t>
      </w:r>
      <w:r>
        <w:rPr>
          <w:rFonts w:hint="eastAsia" w:ascii="微软雅黑" w:eastAsia="微软雅黑"/>
          <w:b/>
        </w:rPr>
        <w:tab/>
      </w:r>
      <w:r>
        <w:rPr>
          <w:spacing w:val="5"/>
        </w:rPr>
        <w:t>学生</w:t>
      </w:r>
      <w:r>
        <w:t>在</w:t>
      </w:r>
      <w:r>
        <w:rPr>
          <w:spacing w:val="5"/>
        </w:rPr>
        <w:t>其所在专</w:t>
      </w:r>
      <w:r>
        <w:t>业</w:t>
      </w:r>
      <w:r>
        <w:rPr>
          <w:spacing w:val="5"/>
        </w:rPr>
        <w:t>毕业最低</w:t>
      </w:r>
      <w:r>
        <w:t>学</w:t>
      </w:r>
      <w:r>
        <w:rPr>
          <w:spacing w:val="5"/>
        </w:rPr>
        <w:t>分外加修</w:t>
      </w:r>
      <w:r>
        <w:t>其</w:t>
      </w:r>
      <w:r>
        <w:rPr>
          <w:spacing w:val="5"/>
        </w:rPr>
        <w:t>他</w:t>
      </w:r>
      <w:r>
        <w:t>课</w:t>
      </w:r>
    </w:p>
    <w:p>
      <w:pPr>
        <w:pStyle w:val="2"/>
        <w:spacing w:before="52"/>
        <w:ind w:left="686"/>
      </w:pPr>
      <w:r>
        <w:t>程，按所修课程学分加收学分学费。</w:t>
      </w:r>
    </w:p>
    <w:p>
      <w:pPr>
        <w:pStyle w:val="2"/>
        <w:spacing w:before="18" w:line="540" w:lineRule="exact"/>
        <w:ind w:left="686" w:right="1004" w:firstLine="640"/>
        <w:jc w:val="both"/>
      </w:pPr>
      <w:r>
        <w:rPr>
          <w:rFonts w:hint="eastAsia" w:ascii="微软雅黑" w:eastAsia="微软雅黑"/>
          <w:b/>
        </w:rPr>
        <w:t xml:space="preserve">第十五条 </w:t>
      </w:r>
      <w:r>
        <w:t>转专业的学生，转入专业的专业学费与转出专业不一致者，若学年中第一学期转入，按转入专业的专业学费标准计收；若第二学期转入，则按前后两个专业的专业学费算术平均数计收。</w:t>
      </w:r>
    </w:p>
    <w:p>
      <w:pPr>
        <w:pStyle w:val="2"/>
        <w:spacing w:before="112" w:line="316" w:lineRule="auto"/>
        <w:ind w:left="686" w:right="1004" w:firstLine="640"/>
        <w:jc w:val="both"/>
      </w:pPr>
      <w:r>
        <w:rPr>
          <w:spacing w:val="2"/>
          <w:w w:val="95"/>
        </w:rPr>
        <w:t xml:space="preserve">转入尚未明确专业的实验班学生，按毕业专业的专业学费 </w:t>
      </w:r>
      <w:r>
        <w:t>核算。</w:t>
      </w:r>
    </w:p>
    <w:p>
      <w:pPr>
        <w:pStyle w:val="2"/>
        <w:tabs>
          <w:tab w:val="left" w:pos="2951"/>
        </w:tabs>
        <w:spacing w:line="485" w:lineRule="exact"/>
        <w:ind w:left="1327"/>
      </w:pPr>
      <w:r>
        <w:rPr>
          <w:rFonts w:hint="eastAsia" w:ascii="微软雅黑" w:eastAsia="微软雅黑"/>
          <w:b/>
          <w:spacing w:val="5"/>
        </w:rPr>
        <w:t>第</w:t>
      </w:r>
      <w:r>
        <w:rPr>
          <w:rFonts w:hint="eastAsia" w:ascii="微软雅黑" w:eastAsia="微软雅黑"/>
          <w:b/>
          <w:spacing w:val="7"/>
        </w:rPr>
        <w:t>十</w:t>
      </w:r>
      <w:r>
        <w:rPr>
          <w:rFonts w:hint="eastAsia" w:ascii="微软雅黑" w:eastAsia="微软雅黑"/>
          <w:b/>
          <w:spacing w:val="5"/>
        </w:rPr>
        <w:t>六</w:t>
      </w:r>
      <w:r>
        <w:rPr>
          <w:rFonts w:hint="eastAsia" w:ascii="微软雅黑" w:eastAsia="微软雅黑"/>
          <w:b/>
        </w:rPr>
        <w:t>条</w:t>
      </w:r>
      <w:r>
        <w:rPr>
          <w:rFonts w:hint="eastAsia" w:ascii="微软雅黑" w:eastAsia="微软雅黑"/>
          <w:b/>
        </w:rPr>
        <w:tab/>
      </w:r>
      <w:r>
        <w:rPr>
          <w:spacing w:val="5"/>
        </w:rPr>
        <w:t>因退</w:t>
      </w:r>
      <w:r>
        <w:t>学</w:t>
      </w:r>
      <w:r>
        <w:rPr>
          <w:spacing w:val="5"/>
        </w:rPr>
        <w:t>、转学、</w:t>
      </w:r>
      <w:r>
        <w:t>出</w:t>
      </w:r>
      <w:r>
        <w:rPr>
          <w:spacing w:val="5"/>
        </w:rPr>
        <w:t>国、入伍</w:t>
      </w:r>
      <w:r>
        <w:t>等</w:t>
      </w:r>
      <w:r>
        <w:rPr>
          <w:spacing w:val="5"/>
        </w:rPr>
        <w:t>原因休学</w:t>
      </w:r>
      <w:r>
        <w:t>或</w:t>
      </w:r>
      <w:r>
        <w:rPr>
          <w:spacing w:val="5"/>
        </w:rPr>
        <w:t>保</w:t>
      </w:r>
      <w:r>
        <w:t>留</w:t>
      </w:r>
    </w:p>
    <w:p>
      <w:pPr>
        <w:pStyle w:val="2"/>
        <w:spacing w:before="53" w:line="316" w:lineRule="auto"/>
        <w:ind w:left="686" w:right="1004"/>
      </w:pPr>
      <w:r>
        <w:t>学籍等中断学业的学生，按月（每学年按十个月计算）计收专业学费。</w:t>
      </w:r>
    </w:p>
    <w:p>
      <w:pPr>
        <w:pStyle w:val="2"/>
        <w:spacing w:line="316" w:lineRule="auto"/>
        <w:ind w:left="686" w:right="1004" w:firstLine="640"/>
        <w:jc w:val="both"/>
      </w:pPr>
      <w:r>
        <w:rPr>
          <w:spacing w:val="-9"/>
        </w:rPr>
        <w:t>学生休学、保留入学资格或保留学籍期间,不缴纳专业学费</w:t>
      </w:r>
      <w:r>
        <w:rPr>
          <w:spacing w:val="-1"/>
        </w:rPr>
        <w:t xml:space="preserve">和学分学费。休学、保留入学资格或保留学籍期满返校学习， </w:t>
      </w:r>
      <w:r>
        <w:t>按随读专业班级收费标准收取专业学费。</w:t>
      </w:r>
    </w:p>
    <w:p>
      <w:pPr>
        <w:pStyle w:val="2"/>
        <w:tabs>
          <w:tab w:val="left" w:pos="2932"/>
        </w:tabs>
        <w:spacing w:line="459" w:lineRule="exact"/>
        <w:ind w:left="1327"/>
      </w:pPr>
      <w:r>
        <w:rPr>
          <w:rFonts w:hint="eastAsia" w:ascii="微软雅黑" w:eastAsia="微软雅黑"/>
          <w:b/>
        </w:rPr>
        <w:t>第十七条</w:t>
      </w:r>
      <w:r>
        <w:rPr>
          <w:rFonts w:hint="eastAsia" w:ascii="微软雅黑" w:eastAsia="微软雅黑"/>
          <w:b/>
        </w:rPr>
        <w:tab/>
      </w:r>
      <w:r>
        <w:t>开除学籍者</w:t>
      </w:r>
      <w:r>
        <w:rPr>
          <w:spacing w:val="-72"/>
        </w:rPr>
        <w:t>，</w:t>
      </w:r>
      <w:r>
        <w:t>其专业学费和学分学费不予退还。</w:t>
      </w:r>
    </w:p>
    <w:p>
      <w:pPr>
        <w:pStyle w:val="2"/>
        <w:tabs>
          <w:tab w:val="left" w:pos="2951"/>
        </w:tabs>
        <w:spacing w:line="565" w:lineRule="exact"/>
        <w:ind w:left="1327"/>
      </w:pPr>
      <w:r>
        <w:rPr>
          <w:rFonts w:hint="eastAsia" w:ascii="微软雅黑" w:eastAsia="微软雅黑"/>
          <w:b/>
          <w:spacing w:val="5"/>
        </w:rPr>
        <w:t>第</w:t>
      </w:r>
      <w:r>
        <w:rPr>
          <w:rFonts w:hint="eastAsia" w:ascii="微软雅黑" w:eastAsia="微软雅黑"/>
          <w:b/>
          <w:spacing w:val="7"/>
        </w:rPr>
        <w:t>十</w:t>
      </w:r>
      <w:r>
        <w:rPr>
          <w:rFonts w:hint="eastAsia" w:ascii="微软雅黑" w:eastAsia="微软雅黑"/>
          <w:b/>
          <w:spacing w:val="5"/>
        </w:rPr>
        <w:t>八</w:t>
      </w:r>
      <w:r>
        <w:rPr>
          <w:rFonts w:hint="eastAsia" w:ascii="微软雅黑" w:eastAsia="微软雅黑"/>
          <w:b/>
        </w:rPr>
        <w:t>条</w:t>
      </w:r>
      <w:r>
        <w:rPr>
          <w:rFonts w:hint="eastAsia" w:ascii="微软雅黑" w:eastAsia="微软雅黑"/>
          <w:b/>
        </w:rPr>
        <w:tab/>
      </w:r>
      <w:r>
        <w:rPr>
          <w:spacing w:val="5"/>
        </w:rPr>
        <w:t>对提</w:t>
      </w:r>
      <w:r>
        <w:t>前</w:t>
      </w:r>
      <w:r>
        <w:rPr>
          <w:spacing w:val="5"/>
        </w:rPr>
        <w:t>修满学分</w:t>
      </w:r>
      <w:r>
        <w:t>毕</w:t>
      </w:r>
      <w:r>
        <w:rPr>
          <w:spacing w:val="5"/>
        </w:rPr>
        <w:t>业的学生</w:t>
      </w:r>
      <w:r>
        <w:t>，</w:t>
      </w:r>
      <w:r>
        <w:rPr>
          <w:spacing w:val="5"/>
        </w:rPr>
        <w:t>按其实际</w:t>
      </w:r>
      <w:r>
        <w:t>学</w:t>
      </w:r>
      <w:r>
        <w:rPr>
          <w:spacing w:val="5"/>
        </w:rPr>
        <w:t>习</w:t>
      </w:r>
      <w:r>
        <w:t>时</w:t>
      </w:r>
    </w:p>
    <w:p>
      <w:pPr>
        <w:spacing w:line="565" w:lineRule="exact"/>
        <w:sectPr>
          <w:pgSz w:w="11910" w:h="16840"/>
          <w:pgMar w:top="1500" w:right="580" w:bottom="1100" w:left="900" w:header="0" w:footer="836" w:gutter="0"/>
          <w:cols w:space="720" w:num="1"/>
        </w:sectPr>
      </w:pPr>
    </w:p>
    <w:p>
      <w:pPr>
        <w:pStyle w:val="2"/>
        <w:spacing w:before="35" w:line="316" w:lineRule="auto"/>
        <w:ind w:left="686" w:right="1004"/>
      </w:pPr>
      <w:r>
        <w:t>间缴纳专业学费；对延长学习时间的学生，原则上按其实际学习时间缴纳专业学费，但对高收费专业可予以适当减免。</w:t>
      </w:r>
    </w:p>
    <w:p>
      <w:pPr>
        <w:pStyle w:val="2"/>
        <w:tabs>
          <w:tab w:val="left" w:pos="2951"/>
        </w:tabs>
        <w:spacing w:line="485" w:lineRule="exact"/>
        <w:ind w:left="1327"/>
      </w:pPr>
      <w:r>
        <w:rPr>
          <w:rFonts w:hint="eastAsia" w:ascii="微软雅黑" w:eastAsia="微软雅黑"/>
          <w:b/>
          <w:spacing w:val="5"/>
        </w:rPr>
        <w:t>第</w:t>
      </w:r>
      <w:r>
        <w:rPr>
          <w:rFonts w:hint="eastAsia" w:ascii="微软雅黑" w:eastAsia="微软雅黑"/>
          <w:b/>
          <w:spacing w:val="7"/>
        </w:rPr>
        <w:t>十</w:t>
      </w:r>
      <w:r>
        <w:rPr>
          <w:rFonts w:hint="eastAsia" w:ascii="微软雅黑" w:eastAsia="微软雅黑"/>
          <w:b/>
          <w:spacing w:val="5"/>
        </w:rPr>
        <w:t>九</w:t>
      </w:r>
      <w:r>
        <w:rPr>
          <w:rFonts w:hint="eastAsia" w:ascii="微软雅黑" w:eastAsia="微软雅黑"/>
          <w:b/>
        </w:rPr>
        <w:t>条</w:t>
      </w:r>
      <w:r>
        <w:rPr>
          <w:rFonts w:hint="eastAsia" w:ascii="微软雅黑" w:eastAsia="微软雅黑"/>
          <w:b/>
        </w:rPr>
        <w:tab/>
      </w:r>
      <w:r>
        <w:rPr>
          <w:spacing w:val="5"/>
        </w:rPr>
        <w:t>学生</w:t>
      </w:r>
      <w:r>
        <w:t>在</w:t>
      </w:r>
      <w:r>
        <w:rPr>
          <w:spacing w:val="5"/>
        </w:rPr>
        <w:t>毕业（结</w:t>
      </w:r>
      <w:r>
        <w:t>业</w:t>
      </w:r>
      <w:r>
        <w:rPr>
          <w:spacing w:val="5"/>
        </w:rPr>
        <w:t>、肄业）</w:t>
      </w:r>
      <w:r>
        <w:t>前</w:t>
      </w:r>
      <w:r>
        <w:rPr>
          <w:spacing w:val="5"/>
        </w:rPr>
        <w:t>，须缴清</w:t>
      </w:r>
      <w:r>
        <w:t>专</w:t>
      </w:r>
      <w:r>
        <w:rPr>
          <w:spacing w:val="5"/>
        </w:rPr>
        <w:t>业</w:t>
      </w:r>
      <w:r>
        <w:t>学</w:t>
      </w:r>
    </w:p>
    <w:p>
      <w:pPr>
        <w:pStyle w:val="2"/>
        <w:spacing w:before="52" w:line="316" w:lineRule="auto"/>
        <w:ind w:left="686" w:right="1004"/>
      </w:pPr>
      <w:r>
        <w:t>费和所修课程学分学费方能取得毕业（结业、肄业）资格，正常办理离校手续。</w:t>
      </w:r>
    </w:p>
    <w:p>
      <w:pPr>
        <w:pStyle w:val="9"/>
        <w:tabs>
          <w:tab w:val="left" w:pos="4571"/>
        </w:tabs>
        <w:spacing w:before="118"/>
        <w:ind w:left="3288"/>
      </w:pPr>
      <w:r>
        <w:t>第六章</w:t>
      </w:r>
      <w:r>
        <w:tab/>
      </w:r>
      <w:r>
        <w:t>考核与成绩记载</w:t>
      </w:r>
    </w:p>
    <w:p>
      <w:pPr>
        <w:pStyle w:val="2"/>
        <w:spacing w:before="18" w:line="540" w:lineRule="exact"/>
        <w:ind w:left="686" w:right="1004" w:firstLine="640"/>
        <w:jc w:val="both"/>
      </w:pPr>
      <w:r>
        <w:rPr>
          <w:rFonts w:hint="eastAsia" w:ascii="微软雅黑" w:eastAsia="微软雅黑"/>
          <w:b/>
        </w:rPr>
        <w:t xml:space="preserve">第二十条 </w:t>
      </w:r>
      <w:r>
        <w:t>学生应当参加本专业培养方案规定的课程和各种教育教学环节(以下统称课程)的考核，经考核成绩合格，即取得该门课程的学分。考核分为考试和考查两种，考核成绩由过程考核成绩和期末考试成绩综合评定，其中期末考试占课程</w:t>
      </w:r>
    </w:p>
    <w:p>
      <w:pPr>
        <w:pStyle w:val="2"/>
        <w:spacing w:before="117"/>
        <w:ind w:left="686"/>
      </w:pPr>
      <w:r>
        <w:t>成绩的比例一般不得高于</w:t>
      </w:r>
      <w:r>
        <w:rPr>
          <w:spacing w:val="-85"/>
        </w:rPr>
        <w:t xml:space="preserve"> </w:t>
      </w:r>
      <w:r>
        <w:rPr>
          <w:spacing w:val="6"/>
        </w:rPr>
        <w:t>60</w:t>
      </w:r>
      <w:r>
        <w:rPr>
          <w:spacing w:val="11"/>
          <w:w w:val="99"/>
          <w:lang w:val="en-US" w:bidi="ar-SA"/>
        </w:rPr>
        <w:drawing>
          <wp:inline distT="0" distB="0" distL="0" distR="0">
            <wp:extent cx="85090" cy="154940"/>
            <wp:effectExtent l="0" t="0" r="10160" b="1651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t>。</w:t>
      </w:r>
    </w:p>
    <w:p>
      <w:pPr>
        <w:pStyle w:val="2"/>
        <w:spacing w:before="13" w:line="540" w:lineRule="exact"/>
        <w:ind w:left="686" w:right="841" w:firstLine="640"/>
        <w:jc w:val="both"/>
      </w:pPr>
      <w:r>
        <w:rPr>
          <w:rFonts w:hint="eastAsia" w:ascii="微软雅黑" w:eastAsia="微软雅黑"/>
          <w:b/>
          <w:spacing w:val="5"/>
        </w:rPr>
        <w:t xml:space="preserve">第二十一条  </w:t>
      </w:r>
      <w:r>
        <w:t>2016</w:t>
      </w:r>
      <w:r>
        <w:rPr>
          <w:spacing w:val="-10"/>
        </w:rPr>
        <w:t xml:space="preserve"> 级之前学生考核成绩主要采取百分制形式记入学生成绩单。2016 级及以后学生考核成绩以等级制方式</w:t>
      </w:r>
      <w:r>
        <w:rPr>
          <w:spacing w:val="-17"/>
        </w:rPr>
        <w:t xml:space="preserve">记入学生成绩单，等级包括 </w:t>
      </w:r>
      <w:r>
        <w:t>A+</w:t>
      </w:r>
      <w:r>
        <w:rPr>
          <w:spacing w:val="-34"/>
        </w:rPr>
        <w:t>、</w:t>
      </w:r>
      <w:r>
        <w:t>A</w:t>
      </w:r>
      <w:r>
        <w:rPr>
          <w:spacing w:val="-34"/>
        </w:rPr>
        <w:t>、</w:t>
      </w:r>
      <w:r>
        <w:t>A</w:t>
      </w:r>
      <w:r>
        <w:rPr>
          <w:spacing w:val="-17"/>
        </w:rPr>
        <w:t>-、</w:t>
      </w:r>
      <w:r>
        <w:t>B+</w:t>
      </w:r>
      <w:r>
        <w:rPr>
          <w:spacing w:val="-34"/>
        </w:rPr>
        <w:t>、</w:t>
      </w:r>
      <w:r>
        <w:t>B</w:t>
      </w:r>
      <w:r>
        <w:rPr>
          <w:spacing w:val="-34"/>
        </w:rPr>
        <w:t>、</w:t>
      </w:r>
      <w:r>
        <w:t>B-</w:t>
      </w:r>
      <w:r>
        <w:rPr>
          <w:spacing w:val="-34"/>
        </w:rPr>
        <w:t>、</w:t>
      </w:r>
      <w:r>
        <w:t>C</w:t>
      </w:r>
      <w:r>
        <w:rPr>
          <w:spacing w:val="-17"/>
        </w:rPr>
        <w:t>+、</w:t>
      </w:r>
      <w:r>
        <w:t>C</w:t>
      </w:r>
      <w:r>
        <w:rPr>
          <w:spacing w:val="-34"/>
        </w:rPr>
        <w:t>、</w:t>
      </w:r>
      <w:r>
        <w:t>C-、</w:t>
      </w:r>
    </w:p>
    <w:p>
      <w:pPr>
        <w:pStyle w:val="2"/>
        <w:spacing w:before="112" w:line="316" w:lineRule="auto"/>
        <w:ind w:left="686" w:right="1005"/>
      </w:pPr>
      <w:r>
        <mc:AlternateContent>
          <mc:Choice Requires="wps">
            <w:drawing>
              <wp:anchor distT="0" distB="0" distL="114300" distR="114300" simplePos="0" relativeHeight="251660288" behindDoc="0" locked="0" layoutInCell="1" allowOverlap="1">
                <wp:simplePos x="0" y="0"/>
                <wp:positionH relativeFrom="page">
                  <wp:posOffset>1169035</wp:posOffset>
                </wp:positionH>
                <wp:positionV relativeFrom="paragraph">
                  <wp:posOffset>685165</wp:posOffset>
                </wp:positionV>
                <wp:extent cx="5224780" cy="32499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24780" cy="3249930"/>
                        </a:xfrm>
                        <a:prstGeom prst="rect">
                          <a:avLst/>
                        </a:prstGeom>
                        <a:noFill/>
                        <a:ln>
                          <a:noFill/>
                        </a:ln>
                      </wps:spPr>
                      <wps:txbx>
                        <w:txbxContent>
                          <w:tbl>
                            <w:tblPr>
                              <w:tblStyle w:val="11"/>
                              <w:tblW w:w="82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1303"/>
                              <w:gridCol w:w="1234"/>
                              <w:gridCol w:w="986"/>
                              <w:gridCol w:w="997"/>
                              <w:gridCol w:w="1052"/>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1680" w:type="dxa"/>
                                </w:tcPr>
                                <w:p>
                                  <w:pPr>
                                    <w:pStyle w:val="10"/>
                                    <w:spacing w:before="10"/>
                                    <w:rPr>
                                      <w:sz w:val="31"/>
                                      <w:lang w:eastAsia="en-US"/>
                                    </w:rPr>
                                  </w:pPr>
                                </w:p>
                                <w:p>
                                  <w:pPr>
                                    <w:pStyle w:val="10"/>
                                    <w:spacing w:before="1"/>
                                    <w:ind w:left="359"/>
                                    <w:rPr>
                                      <w:sz w:val="32"/>
                                      <w:lang w:eastAsia="en-US"/>
                                    </w:rPr>
                                  </w:pPr>
                                  <w:r>
                                    <w:rPr>
                                      <w:sz w:val="32"/>
                                      <w:lang w:eastAsia="en-US"/>
                                    </w:rPr>
                                    <w:t>百分制</w:t>
                                  </w:r>
                                </w:p>
                              </w:tc>
                              <w:tc>
                                <w:tcPr>
                                  <w:tcW w:w="1303" w:type="dxa"/>
                                </w:tcPr>
                                <w:p>
                                  <w:pPr>
                                    <w:pStyle w:val="10"/>
                                    <w:spacing w:before="10"/>
                                    <w:rPr>
                                      <w:sz w:val="31"/>
                                      <w:lang w:eastAsia="en-US"/>
                                    </w:rPr>
                                  </w:pPr>
                                </w:p>
                                <w:p>
                                  <w:pPr>
                                    <w:pStyle w:val="10"/>
                                    <w:spacing w:before="1"/>
                                    <w:ind w:left="149" w:right="143"/>
                                    <w:jc w:val="center"/>
                                    <w:rPr>
                                      <w:sz w:val="32"/>
                                      <w:lang w:eastAsia="en-US"/>
                                    </w:rPr>
                                  </w:pPr>
                                  <w:r>
                                    <w:rPr>
                                      <w:sz w:val="32"/>
                                      <w:lang w:eastAsia="en-US"/>
                                    </w:rPr>
                                    <w:t>十级制</w:t>
                                  </w:r>
                                </w:p>
                              </w:tc>
                              <w:tc>
                                <w:tcPr>
                                  <w:tcW w:w="1234" w:type="dxa"/>
                                </w:tcPr>
                                <w:p>
                                  <w:pPr>
                                    <w:pStyle w:val="10"/>
                                    <w:spacing w:before="10"/>
                                    <w:rPr>
                                      <w:sz w:val="31"/>
                                      <w:lang w:eastAsia="en-US"/>
                                    </w:rPr>
                                  </w:pPr>
                                </w:p>
                                <w:p>
                                  <w:pPr>
                                    <w:pStyle w:val="10"/>
                                    <w:spacing w:before="1"/>
                                    <w:ind w:left="276" w:right="268"/>
                                    <w:jc w:val="center"/>
                                    <w:rPr>
                                      <w:sz w:val="32"/>
                                      <w:lang w:eastAsia="en-US"/>
                                    </w:rPr>
                                  </w:pPr>
                                  <w:r>
                                    <w:rPr>
                                      <w:sz w:val="32"/>
                                      <w:lang w:eastAsia="en-US"/>
                                    </w:rPr>
                                    <w:t>绩点</w:t>
                                  </w:r>
                                </w:p>
                              </w:tc>
                              <w:tc>
                                <w:tcPr>
                                  <w:tcW w:w="986" w:type="dxa"/>
                                </w:tcPr>
                                <w:p>
                                  <w:pPr>
                                    <w:pStyle w:val="10"/>
                                    <w:spacing w:before="1" w:line="560" w:lineRule="exact"/>
                                    <w:ind w:left="332" w:right="163" w:hanging="161"/>
                                    <w:rPr>
                                      <w:sz w:val="32"/>
                                      <w:lang w:eastAsia="en-US"/>
                                    </w:rPr>
                                  </w:pPr>
                                  <w:r>
                                    <w:rPr>
                                      <w:sz w:val="32"/>
                                      <w:lang w:eastAsia="en-US"/>
                                    </w:rPr>
                                    <w:t>五级制</w:t>
                                  </w:r>
                                </w:p>
                              </w:tc>
                              <w:tc>
                                <w:tcPr>
                                  <w:tcW w:w="997" w:type="dxa"/>
                                </w:tcPr>
                                <w:p>
                                  <w:pPr>
                                    <w:pStyle w:val="10"/>
                                    <w:spacing w:before="10"/>
                                    <w:rPr>
                                      <w:sz w:val="31"/>
                                      <w:lang w:eastAsia="en-US"/>
                                    </w:rPr>
                                  </w:pPr>
                                </w:p>
                                <w:p>
                                  <w:pPr>
                                    <w:pStyle w:val="10"/>
                                    <w:spacing w:before="1"/>
                                    <w:ind w:left="156" w:right="151"/>
                                    <w:jc w:val="center"/>
                                    <w:rPr>
                                      <w:sz w:val="32"/>
                                      <w:lang w:eastAsia="en-US"/>
                                    </w:rPr>
                                  </w:pPr>
                                  <w:r>
                                    <w:rPr>
                                      <w:sz w:val="32"/>
                                      <w:lang w:eastAsia="en-US"/>
                                    </w:rPr>
                                    <w:t>绩点</w:t>
                                  </w:r>
                                </w:p>
                              </w:tc>
                              <w:tc>
                                <w:tcPr>
                                  <w:tcW w:w="1052" w:type="dxa"/>
                                </w:tcPr>
                                <w:p>
                                  <w:pPr>
                                    <w:pStyle w:val="10"/>
                                    <w:spacing w:before="1" w:line="560" w:lineRule="exact"/>
                                    <w:ind w:left="365" w:right="196" w:hanging="161"/>
                                    <w:rPr>
                                      <w:sz w:val="32"/>
                                      <w:lang w:eastAsia="en-US"/>
                                    </w:rPr>
                                  </w:pPr>
                                  <w:r>
                                    <w:rPr>
                                      <w:sz w:val="32"/>
                                      <w:lang w:eastAsia="en-US"/>
                                    </w:rPr>
                                    <w:t>通过制</w:t>
                                  </w:r>
                                </w:p>
                              </w:tc>
                              <w:tc>
                                <w:tcPr>
                                  <w:tcW w:w="961" w:type="dxa"/>
                                </w:tcPr>
                                <w:p>
                                  <w:pPr>
                                    <w:pStyle w:val="10"/>
                                    <w:spacing w:before="10"/>
                                    <w:rPr>
                                      <w:sz w:val="31"/>
                                      <w:lang w:eastAsia="en-US"/>
                                    </w:rPr>
                                  </w:pPr>
                                </w:p>
                                <w:p>
                                  <w:pPr>
                                    <w:pStyle w:val="10"/>
                                    <w:spacing w:before="1"/>
                                    <w:ind w:left="158"/>
                                    <w:rPr>
                                      <w:sz w:val="32"/>
                                      <w:lang w:eastAsia="en-US"/>
                                    </w:rPr>
                                  </w:pPr>
                                  <w:r>
                                    <w:rPr>
                                      <w:sz w:val="32"/>
                                      <w:lang w:eastAsia="en-US"/>
                                    </w:rPr>
                                    <w:t>绩点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9" w:hRule="atLeast"/>
                              </w:trPr>
                              <w:tc>
                                <w:tcPr>
                                  <w:tcW w:w="1680" w:type="dxa"/>
                                </w:tcPr>
                                <w:p>
                                  <w:pPr>
                                    <w:pStyle w:val="10"/>
                                    <w:spacing w:before="129"/>
                                    <w:ind w:left="289"/>
                                    <w:rPr>
                                      <w:sz w:val="32"/>
                                      <w:lang w:eastAsia="en-US"/>
                                    </w:rPr>
                                  </w:pPr>
                                  <w:r>
                                    <w:rPr>
                                      <w:sz w:val="32"/>
                                      <w:lang w:eastAsia="en-US"/>
                                    </w:rPr>
                                    <w:t>[96,100]</w:t>
                                  </w:r>
                                </w:p>
                                <w:p>
                                  <w:pPr>
                                    <w:pStyle w:val="10"/>
                                    <w:spacing w:before="149"/>
                                    <w:ind w:left="371"/>
                                    <w:rPr>
                                      <w:sz w:val="32"/>
                                      <w:lang w:eastAsia="en-US"/>
                                    </w:rPr>
                                  </w:pPr>
                                  <w:r>
                                    <w:rPr>
                                      <w:sz w:val="32"/>
                                      <w:lang w:eastAsia="en-US"/>
                                    </w:rPr>
                                    <w:t>[90,96)</w:t>
                                  </w:r>
                                </w:p>
                              </w:tc>
                              <w:tc>
                                <w:tcPr>
                                  <w:tcW w:w="1303" w:type="dxa"/>
                                </w:tcPr>
                                <w:p>
                                  <w:pPr>
                                    <w:pStyle w:val="10"/>
                                    <w:spacing w:before="1" w:line="560" w:lineRule="exact"/>
                                    <w:ind w:left="491" w:right="479"/>
                                    <w:jc w:val="center"/>
                                    <w:rPr>
                                      <w:sz w:val="32"/>
                                      <w:lang w:eastAsia="en-US"/>
                                    </w:rPr>
                                  </w:pPr>
                                  <w:r>
                                    <w:rPr>
                                      <w:sz w:val="32"/>
                                      <w:lang w:eastAsia="en-US"/>
                                    </w:rPr>
                                    <w:t>A+</w:t>
                                  </w:r>
                                  <w:r>
                                    <w:rPr>
                                      <w:w w:val="99"/>
                                      <w:sz w:val="32"/>
                                      <w:lang w:eastAsia="en-US"/>
                                    </w:rPr>
                                    <w:t xml:space="preserve"> </w:t>
                                  </w:r>
                                  <w:r>
                                    <w:rPr>
                                      <w:sz w:val="32"/>
                                      <w:lang w:eastAsia="en-US"/>
                                    </w:rPr>
                                    <w:t>A</w:t>
                                  </w:r>
                                </w:p>
                              </w:tc>
                              <w:tc>
                                <w:tcPr>
                                  <w:tcW w:w="1234" w:type="dxa"/>
                                </w:tcPr>
                                <w:p>
                                  <w:pPr>
                                    <w:pStyle w:val="10"/>
                                    <w:spacing w:before="10"/>
                                    <w:rPr>
                                      <w:sz w:val="31"/>
                                      <w:lang w:eastAsia="en-US"/>
                                    </w:rPr>
                                  </w:pPr>
                                </w:p>
                                <w:p>
                                  <w:pPr>
                                    <w:pStyle w:val="10"/>
                                    <w:ind w:left="276" w:right="267"/>
                                    <w:jc w:val="center"/>
                                    <w:rPr>
                                      <w:sz w:val="32"/>
                                      <w:lang w:eastAsia="en-US"/>
                                    </w:rPr>
                                  </w:pPr>
                                  <w:r>
                                    <w:rPr>
                                      <w:sz w:val="32"/>
                                      <w:lang w:eastAsia="en-US"/>
                                    </w:rPr>
                                    <w:t>4.0</w:t>
                                  </w:r>
                                </w:p>
                              </w:tc>
                              <w:tc>
                                <w:tcPr>
                                  <w:tcW w:w="986" w:type="dxa"/>
                                  <w:vMerge w:val="restart"/>
                                </w:tcPr>
                                <w:p>
                                  <w:pPr>
                                    <w:pStyle w:val="10"/>
                                    <w:rPr>
                                      <w:sz w:val="32"/>
                                      <w:lang w:eastAsia="en-US"/>
                                    </w:rPr>
                                  </w:pPr>
                                </w:p>
                                <w:p>
                                  <w:pPr>
                                    <w:pStyle w:val="10"/>
                                    <w:spacing w:before="283"/>
                                    <w:ind w:left="7"/>
                                    <w:jc w:val="center"/>
                                    <w:rPr>
                                      <w:sz w:val="32"/>
                                      <w:lang w:eastAsia="en-US"/>
                                    </w:rPr>
                                  </w:pPr>
                                  <w:r>
                                    <w:rPr>
                                      <w:w w:val="99"/>
                                      <w:sz w:val="32"/>
                                      <w:lang w:eastAsia="en-US"/>
                                    </w:rPr>
                                    <w:t>A</w:t>
                                  </w:r>
                                </w:p>
                              </w:tc>
                              <w:tc>
                                <w:tcPr>
                                  <w:tcW w:w="997" w:type="dxa"/>
                                  <w:vMerge w:val="restart"/>
                                </w:tcPr>
                                <w:p>
                                  <w:pPr>
                                    <w:pStyle w:val="10"/>
                                    <w:rPr>
                                      <w:sz w:val="32"/>
                                      <w:lang w:eastAsia="en-US"/>
                                    </w:rPr>
                                  </w:pPr>
                                </w:p>
                                <w:p>
                                  <w:pPr>
                                    <w:pStyle w:val="10"/>
                                    <w:spacing w:before="283"/>
                                    <w:ind w:left="258"/>
                                    <w:rPr>
                                      <w:sz w:val="32"/>
                                      <w:lang w:eastAsia="en-US"/>
                                    </w:rPr>
                                  </w:pPr>
                                  <w:r>
                                    <w:rPr>
                                      <w:sz w:val="32"/>
                                      <w:lang w:eastAsia="en-US"/>
                                    </w:rPr>
                                    <w:t>4.0</w:t>
                                  </w:r>
                                </w:p>
                              </w:tc>
                              <w:tc>
                                <w:tcPr>
                                  <w:tcW w:w="1052" w:type="dxa"/>
                                  <w:vMerge w:val="restart"/>
                                </w:tcPr>
                                <w:p>
                                  <w:pPr>
                                    <w:pStyle w:val="10"/>
                                    <w:rPr>
                                      <w:sz w:val="32"/>
                                      <w:lang w:eastAsia="en-US"/>
                                    </w:rPr>
                                  </w:pPr>
                                </w:p>
                                <w:p>
                                  <w:pPr>
                                    <w:pStyle w:val="10"/>
                                    <w:rPr>
                                      <w:sz w:val="32"/>
                                      <w:lang w:eastAsia="en-US"/>
                                    </w:rPr>
                                  </w:pPr>
                                </w:p>
                                <w:p>
                                  <w:pPr>
                                    <w:pStyle w:val="10"/>
                                    <w:rPr>
                                      <w:sz w:val="32"/>
                                      <w:lang w:eastAsia="en-US"/>
                                    </w:rPr>
                                  </w:pPr>
                                </w:p>
                                <w:p>
                                  <w:pPr>
                                    <w:pStyle w:val="10"/>
                                    <w:rPr>
                                      <w:sz w:val="47"/>
                                      <w:lang w:eastAsia="en-US"/>
                                    </w:rPr>
                                  </w:pPr>
                                </w:p>
                                <w:p>
                                  <w:pPr>
                                    <w:pStyle w:val="10"/>
                                    <w:spacing w:before="1"/>
                                    <w:ind w:left="7"/>
                                    <w:jc w:val="center"/>
                                    <w:rPr>
                                      <w:sz w:val="32"/>
                                      <w:lang w:eastAsia="en-US"/>
                                    </w:rPr>
                                  </w:pPr>
                                  <w:r>
                                    <w:rPr>
                                      <w:w w:val="99"/>
                                      <w:sz w:val="32"/>
                                      <w:lang w:eastAsia="en-US"/>
                                    </w:rPr>
                                    <w:t>P</w:t>
                                  </w:r>
                                </w:p>
                              </w:tc>
                              <w:tc>
                                <w:tcPr>
                                  <w:tcW w:w="961" w:type="dxa"/>
                                  <w:vMerge w:val="restart"/>
                                </w:tcPr>
                                <w:p>
                                  <w:pPr>
                                    <w:pStyle w:val="10"/>
                                    <w:rPr>
                                      <w:sz w:val="32"/>
                                      <w:lang w:eastAsia="en-US"/>
                                    </w:rPr>
                                  </w:pPr>
                                </w:p>
                                <w:p>
                                  <w:pPr>
                                    <w:pStyle w:val="10"/>
                                    <w:rPr>
                                      <w:sz w:val="32"/>
                                      <w:lang w:eastAsia="en-US"/>
                                    </w:rPr>
                                  </w:pPr>
                                </w:p>
                                <w:p>
                                  <w:pPr>
                                    <w:pStyle w:val="10"/>
                                    <w:spacing w:before="5"/>
                                    <w:rPr>
                                      <w:sz w:val="35"/>
                                      <w:lang w:eastAsia="en-US"/>
                                    </w:rPr>
                                  </w:pPr>
                                </w:p>
                                <w:p>
                                  <w:pPr>
                                    <w:pStyle w:val="10"/>
                                    <w:spacing w:line="326" w:lineRule="auto"/>
                                    <w:ind w:left="158" w:right="152"/>
                                    <w:jc w:val="both"/>
                                    <w:rPr>
                                      <w:sz w:val="32"/>
                                      <w:lang w:eastAsia="en-US"/>
                                    </w:rPr>
                                  </w:pPr>
                                  <w:r>
                                    <w:rPr>
                                      <w:sz w:val="32"/>
                                      <w:lang w:eastAsia="en-US"/>
                                    </w:rPr>
                                    <w:t>不计算绩点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680" w:type="dxa"/>
                                </w:tcPr>
                                <w:p>
                                  <w:pPr>
                                    <w:pStyle w:val="10"/>
                                    <w:spacing w:before="126"/>
                                    <w:ind w:left="371"/>
                                    <w:rPr>
                                      <w:sz w:val="32"/>
                                      <w:lang w:eastAsia="en-US"/>
                                    </w:rPr>
                                  </w:pPr>
                                  <w:r>
                                    <w:rPr>
                                      <w:sz w:val="32"/>
                                      <w:lang w:eastAsia="en-US"/>
                                    </w:rPr>
                                    <w:t>[85,90)</w:t>
                                  </w:r>
                                </w:p>
                              </w:tc>
                              <w:tc>
                                <w:tcPr>
                                  <w:tcW w:w="1303" w:type="dxa"/>
                                </w:tcPr>
                                <w:p>
                                  <w:pPr>
                                    <w:pStyle w:val="10"/>
                                    <w:spacing w:before="126"/>
                                    <w:ind w:left="149" w:right="139"/>
                                    <w:jc w:val="center"/>
                                    <w:rPr>
                                      <w:sz w:val="32"/>
                                      <w:lang w:eastAsia="en-US"/>
                                    </w:rPr>
                                  </w:pPr>
                                  <w:r>
                                    <w:rPr>
                                      <w:sz w:val="32"/>
                                      <w:lang w:eastAsia="en-US"/>
                                    </w:rPr>
                                    <w:t>A-</w:t>
                                  </w:r>
                                </w:p>
                              </w:tc>
                              <w:tc>
                                <w:tcPr>
                                  <w:tcW w:w="1234" w:type="dxa"/>
                                </w:tcPr>
                                <w:p>
                                  <w:pPr>
                                    <w:pStyle w:val="10"/>
                                    <w:spacing w:before="126"/>
                                    <w:ind w:left="276" w:right="267"/>
                                    <w:jc w:val="center"/>
                                    <w:rPr>
                                      <w:sz w:val="32"/>
                                      <w:lang w:eastAsia="en-US"/>
                                    </w:rPr>
                                  </w:pPr>
                                  <w:r>
                                    <w:rPr>
                                      <w:sz w:val="32"/>
                                      <w:lang w:eastAsia="en-US"/>
                                    </w:rPr>
                                    <w:t>3.7</w:t>
                                  </w:r>
                                </w:p>
                              </w:tc>
                              <w:tc>
                                <w:tcPr>
                                  <w:tcW w:w="986" w:type="dxa"/>
                                  <w:vMerge w:val="continue"/>
                                  <w:tcBorders>
                                    <w:top w:val="nil"/>
                                  </w:tcBorders>
                                </w:tcPr>
                                <w:p>
                                  <w:pPr>
                                    <w:rPr>
                                      <w:sz w:val="2"/>
                                      <w:szCs w:val="2"/>
                                      <w:lang w:eastAsia="en-US"/>
                                    </w:rPr>
                                  </w:pPr>
                                </w:p>
                              </w:tc>
                              <w:tc>
                                <w:tcPr>
                                  <w:tcW w:w="997" w:type="dxa"/>
                                  <w:vMerge w:val="continue"/>
                                  <w:tcBorders>
                                    <w:top w:val="nil"/>
                                  </w:tcBorders>
                                </w:tcPr>
                                <w:p>
                                  <w:pPr>
                                    <w:rPr>
                                      <w:sz w:val="2"/>
                                      <w:szCs w:val="2"/>
                                      <w:lang w:eastAsia="en-US"/>
                                    </w:rPr>
                                  </w:pPr>
                                </w:p>
                              </w:tc>
                              <w:tc>
                                <w:tcPr>
                                  <w:tcW w:w="1052" w:type="dxa"/>
                                  <w:vMerge w:val="continue"/>
                                  <w:tcBorders>
                                    <w:top w:val="nil"/>
                                  </w:tcBorders>
                                </w:tcPr>
                                <w:p>
                                  <w:pPr>
                                    <w:rPr>
                                      <w:sz w:val="2"/>
                                      <w:szCs w:val="2"/>
                                      <w:lang w:eastAsia="en-US"/>
                                    </w:rPr>
                                  </w:pPr>
                                </w:p>
                              </w:tc>
                              <w:tc>
                                <w:tcPr>
                                  <w:tcW w:w="961"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0" w:type="dxa"/>
                                </w:tcPr>
                                <w:p>
                                  <w:pPr>
                                    <w:pStyle w:val="10"/>
                                    <w:spacing w:before="129"/>
                                    <w:ind w:left="371"/>
                                    <w:rPr>
                                      <w:sz w:val="32"/>
                                      <w:lang w:eastAsia="en-US"/>
                                    </w:rPr>
                                  </w:pPr>
                                  <w:r>
                                    <w:rPr>
                                      <w:sz w:val="32"/>
                                      <w:lang w:eastAsia="en-US"/>
                                    </w:rPr>
                                    <w:t>[82,85)</w:t>
                                  </w:r>
                                </w:p>
                              </w:tc>
                              <w:tc>
                                <w:tcPr>
                                  <w:tcW w:w="1303" w:type="dxa"/>
                                </w:tcPr>
                                <w:p>
                                  <w:pPr>
                                    <w:pStyle w:val="10"/>
                                    <w:spacing w:before="129"/>
                                    <w:ind w:left="149" w:right="139"/>
                                    <w:jc w:val="center"/>
                                    <w:rPr>
                                      <w:sz w:val="32"/>
                                      <w:lang w:eastAsia="en-US"/>
                                    </w:rPr>
                                  </w:pPr>
                                  <w:r>
                                    <w:rPr>
                                      <w:sz w:val="32"/>
                                      <w:lang w:eastAsia="en-US"/>
                                    </w:rPr>
                                    <w:t>B+</w:t>
                                  </w:r>
                                </w:p>
                              </w:tc>
                              <w:tc>
                                <w:tcPr>
                                  <w:tcW w:w="1234" w:type="dxa"/>
                                </w:tcPr>
                                <w:p>
                                  <w:pPr>
                                    <w:pStyle w:val="10"/>
                                    <w:spacing w:before="129"/>
                                    <w:ind w:left="276" w:right="267"/>
                                    <w:jc w:val="center"/>
                                    <w:rPr>
                                      <w:sz w:val="32"/>
                                      <w:lang w:eastAsia="en-US"/>
                                    </w:rPr>
                                  </w:pPr>
                                  <w:r>
                                    <w:rPr>
                                      <w:sz w:val="32"/>
                                      <w:lang w:eastAsia="en-US"/>
                                    </w:rPr>
                                    <w:t>3.3</w:t>
                                  </w:r>
                                </w:p>
                              </w:tc>
                              <w:tc>
                                <w:tcPr>
                                  <w:tcW w:w="986" w:type="dxa"/>
                                  <w:vMerge w:val="restart"/>
                                </w:tcPr>
                                <w:p>
                                  <w:pPr>
                                    <w:pStyle w:val="10"/>
                                    <w:rPr>
                                      <w:sz w:val="32"/>
                                      <w:lang w:eastAsia="en-US"/>
                                    </w:rPr>
                                  </w:pPr>
                                </w:p>
                                <w:p>
                                  <w:pPr>
                                    <w:pStyle w:val="10"/>
                                    <w:spacing w:before="288"/>
                                    <w:ind w:left="7"/>
                                    <w:jc w:val="center"/>
                                    <w:rPr>
                                      <w:sz w:val="32"/>
                                      <w:lang w:eastAsia="en-US"/>
                                    </w:rPr>
                                  </w:pPr>
                                  <w:r>
                                    <w:rPr>
                                      <w:w w:val="99"/>
                                      <w:sz w:val="32"/>
                                      <w:lang w:eastAsia="en-US"/>
                                    </w:rPr>
                                    <w:t>B</w:t>
                                  </w:r>
                                </w:p>
                              </w:tc>
                              <w:tc>
                                <w:tcPr>
                                  <w:tcW w:w="997" w:type="dxa"/>
                                  <w:vMerge w:val="restart"/>
                                </w:tcPr>
                                <w:p>
                                  <w:pPr>
                                    <w:pStyle w:val="10"/>
                                    <w:rPr>
                                      <w:sz w:val="32"/>
                                      <w:lang w:eastAsia="en-US"/>
                                    </w:rPr>
                                  </w:pPr>
                                </w:p>
                                <w:p>
                                  <w:pPr>
                                    <w:pStyle w:val="10"/>
                                    <w:spacing w:before="288"/>
                                    <w:ind w:left="258"/>
                                    <w:rPr>
                                      <w:sz w:val="32"/>
                                      <w:lang w:eastAsia="en-US"/>
                                    </w:rPr>
                                  </w:pPr>
                                  <w:r>
                                    <w:rPr>
                                      <w:sz w:val="32"/>
                                      <w:lang w:eastAsia="en-US"/>
                                    </w:rPr>
                                    <w:t>3.0</w:t>
                                  </w:r>
                                </w:p>
                              </w:tc>
                              <w:tc>
                                <w:tcPr>
                                  <w:tcW w:w="1052" w:type="dxa"/>
                                  <w:vMerge w:val="continue"/>
                                  <w:tcBorders>
                                    <w:top w:val="nil"/>
                                  </w:tcBorders>
                                </w:tcPr>
                                <w:p>
                                  <w:pPr>
                                    <w:rPr>
                                      <w:sz w:val="2"/>
                                      <w:szCs w:val="2"/>
                                      <w:lang w:eastAsia="en-US"/>
                                    </w:rPr>
                                  </w:pPr>
                                </w:p>
                              </w:tc>
                              <w:tc>
                                <w:tcPr>
                                  <w:tcW w:w="961"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0" w:type="dxa"/>
                                </w:tcPr>
                                <w:p>
                                  <w:pPr>
                                    <w:pStyle w:val="10"/>
                                    <w:spacing w:before="128"/>
                                    <w:ind w:left="371"/>
                                    <w:rPr>
                                      <w:sz w:val="32"/>
                                      <w:lang w:eastAsia="en-US"/>
                                    </w:rPr>
                                  </w:pPr>
                                  <w:r>
                                    <w:rPr>
                                      <w:sz w:val="32"/>
                                      <w:lang w:eastAsia="en-US"/>
                                    </w:rPr>
                                    <w:t>[78,82)</w:t>
                                  </w:r>
                                </w:p>
                              </w:tc>
                              <w:tc>
                                <w:tcPr>
                                  <w:tcW w:w="1303" w:type="dxa"/>
                                </w:tcPr>
                                <w:p>
                                  <w:pPr>
                                    <w:pStyle w:val="10"/>
                                    <w:spacing w:before="128"/>
                                    <w:ind w:left="7"/>
                                    <w:jc w:val="center"/>
                                    <w:rPr>
                                      <w:sz w:val="32"/>
                                      <w:lang w:eastAsia="en-US"/>
                                    </w:rPr>
                                  </w:pPr>
                                  <w:r>
                                    <w:rPr>
                                      <w:w w:val="99"/>
                                      <w:sz w:val="32"/>
                                      <w:lang w:eastAsia="en-US"/>
                                    </w:rPr>
                                    <w:t>B</w:t>
                                  </w:r>
                                </w:p>
                              </w:tc>
                              <w:tc>
                                <w:tcPr>
                                  <w:tcW w:w="1234" w:type="dxa"/>
                                </w:tcPr>
                                <w:p>
                                  <w:pPr>
                                    <w:pStyle w:val="10"/>
                                    <w:spacing w:before="128"/>
                                    <w:ind w:left="276" w:right="267"/>
                                    <w:jc w:val="center"/>
                                    <w:rPr>
                                      <w:sz w:val="32"/>
                                      <w:lang w:eastAsia="en-US"/>
                                    </w:rPr>
                                  </w:pPr>
                                  <w:r>
                                    <w:rPr>
                                      <w:sz w:val="32"/>
                                      <w:lang w:eastAsia="en-US"/>
                                    </w:rPr>
                                    <w:t>3.0</w:t>
                                  </w:r>
                                </w:p>
                              </w:tc>
                              <w:tc>
                                <w:tcPr>
                                  <w:tcW w:w="986" w:type="dxa"/>
                                  <w:vMerge w:val="continue"/>
                                  <w:tcBorders>
                                    <w:top w:val="nil"/>
                                  </w:tcBorders>
                                </w:tcPr>
                                <w:p>
                                  <w:pPr>
                                    <w:rPr>
                                      <w:sz w:val="2"/>
                                      <w:szCs w:val="2"/>
                                      <w:lang w:eastAsia="en-US"/>
                                    </w:rPr>
                                  </w:pPr>
                                </w:p>
                              </w:tc>
                              <w:tc>
                                <w:tcPr>
                                  <w:tcW w:w="997" w:type="dxa"/>
                                  <w:vMerge w:val="continue"/>
                                  <w:tcBorders>
                                    <w:top w:val="nil"/>
                                  </w:tcBorders>
                                </w:tcPr>
                                <w:p>
                                  <w:pPr>
                                    <w:rPr>
                                      <w:sz w:val="2"/>
                                      <w:szCs w:val="2"/>
                                      <w:lang w:eastAsia="en-US"/>
                                    </w:rPr>
                                  </w:pPr>
                                </w:p>
                              </w:tc>
                              <w:tc>
                                <w:tcPr>
                                  <w:tcW w:w="1052" w:type="dxa"/>
                                  <w:vMerge w:val="continue"/>
                                  <w:tcBorders>
                                    <w:top w:val="nil"/>
                                  </w:tcBorders>
                                </w:tcPr>
                                <w:p>
                                  <w:pPr>
                                    <w:rPr>
                                      <w:sz w:val="2"/>
                                      <w:szCs w:val="2"/>
                                      <w:lang w:eastAsia="en-US"/>
                                    </w:rPr>
                                  </w:pPr>
                                </w:p>
                              </w:tc>
                              <w:tc>
                                <w:tcPr>
                                  <w:tcW w:w="961"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0" w:type="dxa"/>
                                </w:tcPr>
                                <w:p>
                                  <w:pPr>
                                    <w:pStyle w:val="10"/>
                                    <w:spacing w:before="129"/>
                                    <w:ind w:left="371"/>
                                    <w:rPr>
                                      <w:sz w:val="32"/>
                                      <w:lang w:eastAsia="en-US"/>
                                    </w:rPr>
                                  </w:pPr>
                                  <w:r>
                                    <w:rPr>
                                      <w:sz w:val="32"/>
                                      <w:lang w:eastAsia="en-US"/>
                                    </w:rPr>
                                    <w:t>[75,78)</w:t>
                                  </w:r>
                                </w:p>
                              </w:tc>
                              <w:tc>
                                <w:tcPr>
                                  <w:tcW w:w="1303" w:type="dxa"/>
                                </w:tcPr>
                                <w:p>
                                  <w:pPr>
                                    <w:pStyle w:val="10"/>
                                    <w:spacing w:before="129"/>
                                    <w:ind w:left="149" w:right="139"/>
                                    <w:jc w:val="center"/>
                                    <w:rPr>
                                      <w:sz w:val="32"/>
                                      <w:lang w:eastAsia="en-US"/>
                                    </w:rPr>
                                  </w:pPr>
                                  <w:r>
                                    <w:rPr>
                                      <w:sz w:val="32"/>
                                      <w:lang w:eastAsia="en-US"/>
                                    </w:rPr>
                                    <w:t>B-</w:t>
                                  </w:r>
                                </w:p>
                              </w:tc>
                              <w:tc>
                                <w:tcPr>
                                  <w:tcW w:w="1234" w:type="dxa"/>
                                </w:tcPr>
                                <w:p>
                                  <w:pPr>
                                    <w:pStyle w:val="10"/>
                                    <w:spacing w:before="129"/>
                                    <w:ind w:left="276" w:right="267"/>
                                    <w:jc w:val="center"/>
                                    <w:rPr>
                                      <w:sz w:val="32"/>
                                      <w:lang w:eastAsia="en-US"/>
                                    </w:rPr>
                                  </w:pPr>
                                  <w:r>
                                    <w:rPr>
                                      <w:sz w:val="32"/>
                                      <w:lang w:eastAsia="en-US"/>
                                    </w:rPr>
                                    <w:t>2.7</w:t>
                                  </w:r>
                                </w:p>
                              </w:tc>
                              <w:tc>
                                <w:tcPr>
                                  <w:tcW w:w="986" w:type="dxa"/>
                                  <w:vMerge w:val="continue"/>
                                  <w:tcBorders>
                                    <w:top w:val="nil"/>
                                  </w:tcBorders>
                                </w:tcPr>
                                <w:p>
                                  <w:pPr>
                                    <w:rPr>
                                      <w:sz w:val="2"/>
                                      <w:szCs w:val="2"/>
                                      <w:lang w:eastAsia="en-US"/>
                                    </w:rPr>
                                  </w:pPr>
                                </w:p>
                              </w:tc>
                              <w:tc>
                                <w:tcPr>
                                  <w:tcW w:w="997" w:type="dxa"/>
                                  <w:vMerge w:val="continue"/>
                                  <w:tcBorders>
                                    <w:top w:val="nil"/>
                                  </w:tcBorders>
                                </w:tcPr>
                                <w:p>
                                  <w:pPr>
                                    <w:rPr>
                                      <w:sz w:val="2"/>
                                      <w:szCs w:val="2"/>
                                      <w:lang w:eastAsia="en-US"/>
                                    </w:rPr>
                                  </w:pPr>
                                </w:p>
                              </w:tc>
                              <w:tc>
                                <w:tcPr>
                                  <w:tcW w:w="1052" w:type="dxa"/>
                                  <w:vMerge w:val="continue"/>
                                  <w:tcBorders>
                                    <w:top w:val="nil"/>
                                  </w:tcBorders>
                                </w:tcPr>
                                <w:p>
                                  <w:pPr>
                                    <w:rPr>
                                      <w:sz w:val="2"/>
                                      <w:szCs w:val="2"/>
                                      <w:lang w:eastAsia="en-US"/>
                                    </w:rPr>
                                  </w:pPr>
                                </w:p>
                              </w:tc>
                              <w:tc>
                                <w:tcPr>
                                  <w:tcW w:w="961"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680" w:type="dxa"/>
                                </w:tcPr>
                                <w:p>
                                  <w:pPr>
                                    <w:pStyle w:val="10"/>
                                    <w:spacing w:before="128"/>
                                    <w:ind w:left="371"/>
                                    <w:rPr>
                                      <w:sz w:val="32"/>
                                      <w:lang w:eastAsia="en-US"/>
                                    </w:rPr>
                                  </w:pPr>
                                  <w:r>
                                    <w:rPr>
                                      <w:sz w:val="32"/>
                                      <w:lang w:eastAsia="en-US"/>
                                    </w:rPr>
                                    <w:t>[71,75)</w:t>
                                  </w:r>
                                </w:p>
                              </w:tc>
                              <w:tc>
                                <w:tcPr>
                                  <w:tcW w:w="1303" w:type="dxa"/>
                                </w:tcPr>
                                <w:p>
                                  <w:pPr>
                                    <w:pStyle w:val="10"/>
                                    <w:spacing w:before="128"/>
                                    <w:ind w:left="149" w:right="139"/>
                                    <w:jc w:val="center"/>
                                    <w:rPr>
                                      <w:sz w:val="32"/>
                                      <w:lang w:eastAsia="en-US"/>
                                    </w:rPr>
                                  </w:pPr>
                                  <w:r>
                                    <w:rPr>
                                      <w:sz w:val="32"/>
                                      <w:lang w:eastAsia="en-US"/>
                                    </w:rPr>
                                    <w:t>C+</w:t>
                                  </w:r>
                                </w:p>
                              </w:tc>
                              <w:tc>
                                <w:tcPr>
                                  <w:tcW w:w="1234" w:type="dxa"/>
                                </w:tcPr>
                                <w:p>
                                  <w:pPr>
                                    <w:pStyle w:val="10"/>
                                    <w:spacing w:before="128"/>
                                    <w:ind w:left="276" w:right="267"/>
                                    <w:jc w:val="center"/>
                                    <w:rPr>
                                      <w:sz w:val="32"/>
                                      <w:lang w:eastAsia="en-US"/>
                                    </w:rPr>
                                  </w:pPr>
                                  <w:r>
                                    <w:rPr>
                                      <w:sz w:val="32"/>
                                      <w:lang w:eastAsia="en-US"/>
                                    </w:rPr>
                                    <w:t>2.3</w:t>
                                  </w:r>
                                </w:p>
                              </w:tc>
                              <w:tc>
                                <w:tcPr>
                                  <w:tcW w:w="986" w:type="dxa"/>
                                </w:tcPr>
                                <w:p>
                                  <w:pPr>
                                    <w:pStyle w:val="10"/>
                                    <w:spacing w:before="128"/>
                                    <w:ind w:left="7"/>
                                    <w:jc w:val="center"/>
                                    <w:rPr>
                                      <w:sz w:val="32"/>
                                      <w:lang w:eastAsia="en-US"/>
                                    </w:rPr>
                                  </w:pPr>
                                  <w:r>
                                    <w:rPr>
                                      <w:w w:val="99"/>
                                      <w:sz w:val="32"/>
                                      <w:lang w:eastAsia="en-US"/>
                                    </w:rPr>
                                    <w:t>C</w:t>
                                  </w:r>
                                </w:p>
                              </w:tc>
                              <w:tc>
                                <w:tcPr>
                                  <w:tcW w:w="997" w:type="dxa"/>
                                </w:tcPr>
                                <w:p>
                                  <w:pPr>
                                    <w:pStyle w:val="10"/>
                                    <w:spacing w:before="128"/>
                                    <w:ind w:left="156" w:right="147"/>
                                    <w:jc w:val="center"/>
                                    <w:rPr>
                                      <w:sz w:val="32"/>
                                      <w:lang w:eastAsia="en-US"/>
                                    </w:rPr>
                                  </w:pPr>
                                  <w:r>
                                    <w:rPr>
                                      <w:sz w:val="32"/>
                                      <w:lang w:eastAsia="en-US"/>
                                    </w:rPr>
                                    <w:t>2.0</w:t>
                                  </w:r>
                                </w:p>
                              </w:tc>
                              <w:tc>
                                <w:tcPr>
                                  <w:tcW w:w="1052" w:type="dxa"/>
                                  <w:vMerge w:val="continue"/>
                                  <w:tcBorders>
                                    <w:top w:val="nil"/>
                                  </w:tcBorders>
                                </w:tcPr>
                                <w:p>
                                  <w:pPr>
                                    <w:rPr>
                                      <w:sz w:val="2"/>
                                      <w:szCs w:val="2"/>
                                      <w:lang w:eastAsia="en-US"/>
                                    </w:rPr>
                                  </w:pPr>
                                </w:p>
                              </w:tc>
                              <w:tc>
                                <w:tcPr>
                                  <w:tcW w:w="961" w:type="dxa"/>
                                  <w:vMerge w:val="continue"/>
                                  <w:tcBorders>
                                    <w:top w:val="nil"/>
                                  </w:tcBorders>
                                </w:tcPr>
                                <w:p>
                                  <w:pPr>
                                    <w:rPr>
                                      <w:sz w:val="2"/>
                                      <w:szCs w:val="2"/>
                                      <w:lang w:eastAsia="en-US"/>
                                    </w:rPr>
                                  </w:pPr>
                                </w:p>
                              </w:tc>
                            </w:tr>
                          </w:tbl>
                          <w:p>
                            <w:pPr>
                              <w:pStyle w:val="2"/>
                            </w:pPr>
                          </w:p>
                        </w:txbxContent>
                      </wps:txbx>
                      <wps:bodyPr lIns="0" tIns="0" rIns="0" bIns="0" upright="1"/>
                    </wps:wsp>
                  </a:graphicData>
                </a:graphic>
              </wp:anchor>
            </w:drawing>
          </mc:Choice>
          <mc:Fallback>
            <w:pict>
              <v:shape id="_x0000_s1026" o:spid="_x0000_s1026" o:spt="202" type="#_x0000_t202" style="position:absolute;left:0pt;margin-left:92.05pt;margin-top:53.95pt;height:255.9pt;width:411.4pt;mso-position-horizontal-relative:page;z-index:251660288;mso-width-relative:page;mso-height-relative:page;" filled="f" stroked="f" coordsize="21600,21600" o:gfxdata="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czu1x2AAAAAwBAAAPAAAAAAAA&#10;AAEAIAAAACIAAABkcnMvZG93bnJldi54bWxQSwECFAAUAAAACACHTuJAWyPgH6ABAAAlAwAADgAA&#10;AAAAAAABACAAAAAnAQAAZHJzL2Uyb0RvYy54bWxQSwUGAAAAAAYABgBZAQAAOQUAAAAA&#10;">
                <v:path/>
                <v:fill on="f" focussize="0,0"/>
                <v:stroke on="f" joinstyle="miter"/>
                <v:imagedata o:title=""/>
                <o:lock v:ext="edit"/>
                <v:textbox inset="0mm,0mm,0mm,0mm">
                  <w:txbxContent>
                    <w:tbl>
                      <w:tblPr>
                        <w:tblStyle w:val="11"/>
                        <w:tblW w:w="821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1303"/>
                        <w:gridCol w:w="1234"/>
                        <w:gridCol w:w="986"/>
                        <w:gridCol w:w="997"/>
                        <w:gridCol w:w="1052"/>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1680" w:type="dxa"/>
                          </w:tcPr>
                          <w:p>
                            <w:pPr>
                              <w:pStyle w:val="10"/>
                              <w:spacing w:before="10"/>
                              <w:rPr>
                                <w:sz w:val="31"/>
                                <w:lang w:eastAsia="en-US"/>
                              </w:rPr>
                            </w:pPr>
                          </w:p>
                          <w:p>
                            <w:pPr>
                              <w:pStyle w:val="10"/>
                              <w:spacing w:before="1"/>
                              <w:ind w:left="359"/>
                              <w:rPr>
                                <w:sz w:val="32"/>
                                <w:lang w:eastAsia="en-US"/>
                              </w:rPr>
                            </w:pPr>
                            <w:r>
                              <w:rPr>
                                <w:sz w:val="32"/>
                                <w:lang w:eastAsia="en-US"/>
                              </w:rPr>
                              <w:t>百分制</w:t>
                            </w:r>
                          </w:p>
                        </w:tc>
                        <w:tc>
                          <w:tcPr>
                            <w:tcW w:w="1303" w:type="dxa"/>
                          </w:tcPr>
                          <w:p>
                            <w:pPr>
                              <w:pStyle w:val="10"/>
                              <w:spacing w:before="10"/>
                              <w:rPr>
                                <w:sz w:val="31"/>
                                <w:lang w:eastAsia="en-US"/>
                              </w:rPr>
                            </w:pPr>
                          </w:p>
                          <w:p>
                            <w:pPr>
                              <w:pStyle w:val="10"/>
                              <w:spacing w:before="1"/>
                              <w:ind w:left="149" w:right="143"/>
                              <w:jc w:val="center"/>
                              <w:rPr>
                                <w:sz w:val="32"/>
                                <w:lang w:eastAsia="en-US"/>
                              </w:rPr>
                            </w:pPr>
                            <w:r>
                              <w:rPr>
                                <w:sz w:val="32"/>
                                <w:lang w:eastAsia="en-US"/>
                              </w:rPr>
                              <w:t>十级制</w:t>
                            </w:r>
                          </w:p>
                        </w:tc>
                        <w:tc>
                          <w:tcPr>
                            <w:tcW w:w="1234" w:type="dxa"/>
                          </w:tcPr>
                          <w:p>
                            <w:pPr>
                              <w:pStyle w:val="10"/>
                              <w:spacing w:before="10"/>
                              <w:rPr>
                                <w:sz w:val="31"/>
                                <w:lang w:eastAsia="en-US"/>
                              </w:rPr>
                            </w:pPr>
                          </w:p>
                          <w:p>
                            <w:pPr>
                              <w:pStyle w:val="10"/>
                              <w:spacing w:before="1"/>
                              <w:ind w:left="276" w:right="268"/>
                              <w:jc w:val="center"/>
                              <w:rPr>
                                <w:sz w:val="32"/>
                                <w:lang w:eastAsia="en-US"/>
                              </w:rPr>
                            </w:pPr>
                            <w:r>
                              <w:rPr>
                                <w:sz w:val="32"/>
                                <w:lang w:eastAsia="en-US"/>
                              </w:rPr>
                              <w:t>绩点</w:t>
                            </w:r>
                          </w:p>
                        </w:tc>
                        <w:tc>
                          <w:tcPr>
                            <w:tcW w:w="986" w:type="dxa"/>
                          </w:tcPr>
                          <w:p>
                            <w:pPr>
                              <w:pStyle w:val="10"/>
                              <w:spacing w:before="1" w:line="560" w:lineRule="exact"/>
                              <w:ind w:left="332" w:right="163" w:hanging="161"/>
                              <w:rPr>
                                <w:sz w:val="32"/>
                                <w:lang w:eastAsia="en-US"/>
                              </w:rPr>
                            </w:pPr>
                            <w:r>
                              <w:rPr>
                                <w:sz w:val="32"/>
                                <w:lang w:eastAsia="en-US"/>
                              </w:rPr>
                              <w:t>五级制</w:t>
                            </w:r>
                          </w:p>
                        </w:tc>
                        <w:tc>
                          <w:tcPr>
                            <w:tcW w:w="997" w:type="dxa"/>
                          </w:tcPr>
                          <w:p>
                            <w:pPr>
                              <w:pStyle w:val="10"/>
                              <w:spacing w:before="10"/>
                              <w:rPr>
                                <w:sz w:val="31"/>
                                <w:lang w:eastAsia="en-US"/>
                              </w:rPr>
                            </w:pPr>
                          </w:p>
                          <w:p>
                            <w:pPr>
                              <w:pStyle w:val="10"/>
                              <w:spacing w:before="1"/>
                              <w:ind w:left="156" w:right="151"/>
                              <w:jc w:val="center"/>
                              <w:rPr>
                                <w:sz w:val="32"/>
                                <w:lang w:eastAsia="en-US"/>
                              </w:rPr>
                            </w:pPr>
                            <w:r>
                              <w:rPr>
                                <w:sz w:val="32"/>
                                <w:lang w:eastAsia="en-US"/>
                              </w:rPr>
                              <w:t>绩点</w:t>
                            </w:r>
                          </w:p>
                        </w:tc>
                        <w:tc>
                          <w:tcPr>
                            <w:tcW w:w="1052" w:type="dxa"/>
                          </w:tcPr>
                          <w:p>
                            <w:pPr>
                              <w:pStyle w:val="10"/>
                              <w:spacing w:before="1" w:line="560" w:lineRule="exact"/>
                              <w:ind w:left="365" w:right="196" w:hanging="161"/>
                              <w:rPr>
                                <w:sz w:val="32"/>
                                <w:lang w:eastAsia="en-US"/>
                              </w:rPr>
                            </w:pPr>
                            <w:r>
                              <w:rPr>
                                <w:sz w:val="32"/>
                                <w:lang w:eastAsia="en-US"/>
                              </w:rPr>
                              <w:t>通过制</w:t>
                            </w:r>
                          </w:p>
                        </w:tc>
                        <w:tc>
                          <w:tcPr>
                            <w:tcW w:w="961" w:type="dxa"/>
                          </w:tcPr>
                          <w:p>
                            <w:pPr>
                              <w:pStyle w:val="10"/>
                              <w:spacing w:before="10"/>
                              <w:rPr>
                                <w:sz w:val="31"/>
                                <w:lang w:eastAsia="en-US"/>
                              </w:rPr>
                            </w:pPr>
                          </w:p>
                          <w:p>
                            <w:pPr>
                              <w:pStyle w:val="10"/>
                              <w:spacing w:before="1"/>
                              <w:ind w:left="158"/>
                              <w:rPr>
                                <w:sz w:val="32"/>
                                <w:lang w:eastAsia="en-US"/>
                              </w:rPr>
                            </w:pPr>
                            <w:r>
                              <w:rPr>
                                <w:sz w:val="32"/>
                                <w:lang w:eastAsia="en-US"/>
                              </w:rPr>
                              <w:t>绩点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9" w:hRule="atLeast"/>
                        </w:trPr>
                        <w:tc>
                          <w:tcPr>
                            <w:tcW w:w="1680" w:type="dxa"/>
                          </w:tcPr>
                          <w:p>
                            <w:pPr>
                              <w:pStyle w:val="10"/>
                              <w:spacing w:before="129"/>
                              <w:ind w:left="289"/>
                              <w:rPr>
                                <w:sz w:val="32"/>
                                <w:lang w:eastAsia="en-US"/>
                              </w:rPr>
                            </w:pPr>
                            <w:r>
                              <w:rPr>
                                <w:sz w:val="32"/>
                                <w:lang w:eastAsia="en-US"/>
                              </w:rPr>
                              <w:t>[96,100]</w:t>
                            </w:r>
                          </w:p>
                          <w:p>
                            <w:pPr>
                              <w:pStyle w:val="10"/>
                              <w:spacing w:before="149"/>
                              <w:ind w:left="371"/>
                              <w:rPr>
                                <w:sz w:val="32"/>
                                <w:lang w:eastAsia="en-US"/>
                              </w:rPr>
                            </w:pPr>
                            <w:r>
                              <w:rPr>
                                <w:sz w:val="32"/>
                                <w:lang w:eastAsia="en-US"/>
                              </w:rPr>
                              <w:t>[90,96)</w:t>
                            </w:r>
                          </w:p>
                        </w:tc>
                        <w:tc>
                          <w:tcPr>
                            <w:tcW w:w="1303" w:type="dxa"/>
                          </w:tcPr>
                          <w:p>
                            <w:pPr>
                              <w:pStyle w:val="10"/>
                              <w:spacing w:before="1" w:line="560" w:lineRule="exact"/>
                              <w:ind w:left="491" w:right="479"/>
                              <w:jc w:val="center"/>
                              <w:rPr>
                                <w:sz w:val="32"/>
                                <w:lang w:eastAsia="en-US"/>
                              </w:rPr>
                            </w:pPr>
                            <w:r>
                              <w:rPr>
                                <w:sz w:val="32"/>
                                <w:lang w:eastAsia="en-US"/>
                              </w:rPr>
                              <w:t>A+</w:t>
                            </w:r>
                            <w:r>
                              <w:rPr>
                                <w:w w:val="99"/>
                                <w:sz w:val="32"/>
                                <w:lang w:eastAsia="en-US"/>
                              </w:rPr>
                              <w:t xml:space="preserve"> </w:t>
                            </w:r>
                            <w:r>
                              <w:rPr>
                                <w:sz w:val="32"/>
                                <w:lang w:eastAsia="en-US"/>
                              </w:rPr>
                              <w:t>A</w:t>
                            </w:r>
                          </w:p>
                        </w:tc>
                        <w:tc>
                          <w:tcPr>
                            <w:tcW w:w="1234" w:type="dxa"/>
                          </w:tcPr>
                          <w:p>
                            <w:pPr>
                              <w:pStyle w:val="10"/>
                              <w:spacing w:before="10"/>
                              <w:rPr>
                                <w:sz w:val="31"/>
                                <w:lang w:eastAsia="en-US"/>
                              </w:rPr>
                            </w:pPr>
                          </w:p>
                          <w:p>
                            <w:pPr>
                              <w:pStyle w:val="10"/>
                              <w:ind w:left="276" w:right="267"/>
                              <w:jc w:val="center"/>
                              <w:rPr>
                                <w:sz w:val="32"/>
                                <w:lang w:eastAsia="en-US"/>
                              </w:rPr>
                            </w:pPr>
                            <w:r>
                              <w:rPr>
                                <w:sz w:val="32"/>
                                <w:lang w:eastAsia="en-US"/>
                              </w:rPr>
                              <w:t>4.0</w:t>
                            </w:r>
                          </w:p>
                        </w:tc>
                        <w:tc>
                          <w:tcPr>
                            <w:tcW w:w="986" w:type="dxa"/>
                            <w:vMerge w:val="restart"/>
                          </w:tcPr>
                          <w:p>
                            <w:pPr>
                              <w:pStyle w:val="10"/>
                              <w:rPr>
                                <w:sz w:val="32"/>
                                <w:lang w:eastAsia="en-US"/>
                              </w:rPr>
                            </w:pPr>
                          </w:p>
                          <w:p>
                            <w:pPr>
                              <w:pStyle w:val="10"/>
                              <w:spacing w:before="283"/>
                              <w:ind w:left="7"/>
                              <w:jc w:val="center"/>
                              <w:rPr>
                                <w:sz w:val="32"/>
                                <w:lang w:eastAsia="en-US"/>
                              </w:rPr>
                            </w:pPr>
                            <w:r>
                              <w:rPr>
                                <w:w w:val="99"/>
                                <w:sz w:val="32"/>
                                <w:lang w:eastAsia="en-US"/>
                              </w:rPr>
                              <w:t>A</w:t>
                            </w:r>
                          </w:p>
                        </w:tc>
                        <w:tc>
                          <w:tcPr>
                            <w:tcW w:w="997" w:type="dxa"/>
                            <w:vMerge w:val="restart"/>
                          </w:tcPr>
                          <w:p>
                            <w:pPr>
                              <w:pStyle w:val="10"/>
                              <w:rPr>
                                <w:sz w:val="32"/>
                                <w:lang w:eastAsia="en-US"/>
                              </w:rPr>
                            </w:pPr>
                          </w:p>
                          <w:p>
                            <w:pPr>
                              <w:pStyle w:val="10"/>
                              <w:spacing w:before="283"/>
                              <w:ind w:left="258"/>
                              <w:rPr>
                                <w:sz w:val="32"/>
                                <w:lang w:eastAsia="en-US"/>
                              </w:rPr>
                            </w:pPr>
                            <w:r>
                              <w:rPr>
                                <w:sz w:val="32"/>
                                <w:lang w:eastAsia="en-US"/>
                              </w:rPr>
                              <w:t>4.0</w:t>
                            </w:r>
                          </w:p>
                        </w:tc>
                        <w:tc>
                          <w:tcPr>
                            <w:tcW w:w="1052" w:type="dxa"/>
                            <w:vMerge w:val="restart"/>
                          </w:tcPr>
                          <w:p>
                            <w:pPr>
                              <w:pStyle w:val="10"/>
                              <w:rPr>
                                <w:sz w:val="32"/>
                                <w:lang w:eastAsia="en-US"/>
                              </w:rPr>
                            </w:pPr>
                          </w:p>
                          <w:p>
                            <w:pPr>
                              <w:pStyle w:val="10"/>
                              <w:rPr>
                                <w:sz w:val="32"/>
                                <w:lang w:eastAsia="en-US"/>
                              </w:rPr>
                            </w:pPr>
                          </w:p>
                          <w:p>
                            <w:pPr>
                              <w:pStyle w:val="10"/>
                              <w:rPr>
                                <w:sz w:val="32"/>
                                <w:lang w:eastAsia="en-US"/>
                              </w:rPr>
                            </w:pPr>
                          </w:p>
                          <w:p>
                            <w:pPr>
                              <w:pStyle w:val="10"/>
                              <w:rPr>
                                <w:sz w:val="47"/>
                                <w:lang w:eastAsia="en-US"/>
                              </w:rPr>
                            </w:pPr>
                          </w:p>
                          <w:p>
                            <w:pPr>
                              <w:pStyle w:val="10"/>
                              <w:spacing w:before="1"/>
                              <w:ind w:left="7"/>
                              <w:jc w:val="center"/>
                              <w:rPr>
                                <w:sz w:val="32"/>
                                <w:lang w:eastAsia="en-US"/>
                              </w:rPr>
                            </w:pPr>
                            <w:r>
                              <w:rPr>
                                <w:w w:val="99"/>
                                <w:sz w:val="32"/>
                                <w:lang w:eastAsia="en-US"/>
                              </w:rPr>
                              <w:t>P</w:t>
                            </w:r>
                          </w:p>
                        </w:tc>
                        <w:tc>
                          <w:tcPr>
                            <w:tcW w:w="961" w:type="dxa"/>
                            <w:vMerge w:val="restart"/>
                          </w:tcPr>
                          <w:p>
                            <w:pPr>
                              <w:pStyle w:val="10"/>
                              <w:rPr>
                                <w:sz w:val="32"/>
                                <w:lang w:eastAsia="en-US"/>
                              </w:rPr>
                            </w:pPr>
                          </w:p>
                          <w:p>
                            <w:pPr>
                              <w:pStyle w:val="10"/>
                              <w:rPr>
                                <w:sz w:val="32"/>
                                <w:lang w:eastAsia="en-US"/>
                              </w:rPr>
                            </w:pPr>
                          </w:p>
                          <w:p>
                            <w:pPr>
                              <w:pStyle w:val="10"/>
                              <w:spacing w:before="5"/>
                              <w:rPr>
                                <w:sz w:val="35"/>
                                <w:lang w:eastAsia="en-US"/>
                              </w:rPr>
                            </w:pPr>
                          </w:p>
                          <w:p>
                            <w:pPr>
                              <w:pStyle w:val="10"/>
                              <w:spacing w:line="326" w:lineRule="auto"/>
                              <w:ind w:left="158" w:right="152"/>
                              <w:jc w:val="both"/>
                              <w:rPr>
                                <w:sz w:val="32"/>
                                <w:lang w:eastAsia="en-US"/>
                              </w:rPr>
                            </w:pPr>
                            <w:r>
                              <w:rPr>
                                <w:sz w:val="32"/>
                                <w:lang w:eastAsia="en-US"/>
                              </w:rPr>
                              <w:t>不计算绩点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8" w:hRule="atLeast"/>
                        </w:trPr>
                        <w:tc>
                          <w:tcPr>
                            <w:tcW w:w="1680" w:type="dxa"/>
                          </w:tcPr>
                          <w:p>
                            <w:pPr>
                              <w:pStyle w:val="10"/>
                              <w:spacing w:before="126"/>
                              <w:ind w:left="371"/>
                              <w:rPr>
                                <w:sz w:val="32"/>
                                <w:lang w:eastAsia="en-US"/>
                              </w:rPr>
                            </w:pPr>
                            <w:r>
                              <w:rPr>
                                <w:sz w:val="32"/>
                                <w:lang w:eastAsia="en-US"/>
                              </w:rPr>
                              <w:t>[85,90)</w:t>
                            </w:r>
                          </w:p>
                        </w:tc>
                        <w:tc>
                          <w:tcPr>
                            <w:tcW w:w="1303" w:type="dxa"/>
                          </w:tcPr>
                          <w:p>
                            <w:pPr>
                              <w:pStyle w:val="10"/>
                              <w:spacing w:before="126"/>
                              <w:ind w:left="149" w:right="139"/>
                              <w:jc w:val="center"/>
                              <w:rPr>
                                <w:sz w:val="32"/>
                                <w:lang w:eastAsia="en-US"/>
                              </w:rPr>
                            </w:pPr>
                            <w:r>
                              <w:rPr>
                                <w:sz w:val="32"/>
                                <w:lang w:eastAsia="en-US"/>
                              </w:rPr>
                              <w:t>A-</w:t>
                            </w:r>
                          </w:p>
                        </w:tc>
                        <w:tc>
                          <w:tcPr>
                            <w:tcW w:w="1234" w:type="dxa"/>
                          </w:tcPr>
                          <w:p>
                            <w:pPr>
                              <w:pStyle w:val="10"/>
                              <w:spacing w:before="126"/>
                              <w:ind w:left="276" w:right="267"/>
                              <w:jc w:val="center"/>
                              <w:rPr>
                                <w:sz w:val="32"/>
                                <w:lang w:eastAsia="en-US"/>
                              </w:rPr>
                            </w:pPr>
                            <w:r>
                              <w:rPr>
                                <w:sz w:val="32"/>
                                <w:lang w:eastAsia="en-US"/>
                              </w:rPr>
                              <w:t>3.7</w:t>
                            </w:r>
                          </w:p>
                        </w:tc>
                        <w:tc>
                          <w:tcPr>
                            <w:tcW w:w="986" w:type="dxa"/>
                            <w:vMerge w:val="continue"/>
                            <w:tcBorders>
                              <w:top w:val="nil"/>
                            </w:tcBorders>
                          </w:tcPr>
                          <w:p>
                            <w:pPr>
                              <w:rPr>
                                <w:sz w:val="2"/>
                                <w:szCs w:val="2"/>
                                <w:lang w:eastAsia="en-US"/>
                              </w:rPr>
                            </w:pPr>
                          </w:p>
                        </w:tc>
                        <w:tc>
                          <w:tcPr>
                            <w:tcW w:w="997" w:type="dxa"/>
                            <w:vMerge w:val="continue"/>
                            <w:tcBorders>
                              <w:top w:val="nil"/>
                            </w:tcBorders>
                          </w:tcPr>
                          <w:p>
                            <w:pPr>
                              <w:rPr>
                                <w:sz w:val="2"/>
                                <w:szCs w:val="2"/>
                                <w:lang w:eastAsia="en-US"/>
                              </w:rPr>
                            </w:pPr>
                          </w:p>
                        </w:tc>
                        <w:tc>
                          <w:tcPr>
                            <w:tcW w:w="1052" w:type="dxa"/>
                            <w:vMerge w:val="continue"/>
                            <w:tcBorders>
                              <w:top w:val="nil"/>
                            </w:tcBorders>
                          </w:tcPr>
                          <w:p>
                            <w:pPr>
                              <w:rPr>
                                <w:sz w:val="2"/>
                                <w:szCs w:val="2"/>
                                <w:lang w:eastAsia="en-US"/>
                              </w:rPr>
                            </w:pPr>
                          </w:p>
                        </w:tc>
                        <w:tc>
                          <w:tcPr>
                            <w:tcW w:w="961"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0" w:type="dxa"/>
                          </w:tcPr>
                          <w:p>
                            <w:pPr>
                              <w:pStyle w:val="10"/>
                              <w:spacing w:before="129"/>
                              <w:ind w:left="371"/>
                              <w:rPr>
                                <w:sz w:val="32"/>
                                <w:lang w:eastAsia="en-US"/>
                              </w:rPr>
                            </w:pPr>
                            <w:r>
                              <w:rPr>
                                <w:sz w:val="32"/>
                                <w:lang w:eastAsia="en-US"/>
                              </w:rPr>
                              <w:t>[82,85)</w:t>
                            </w:r>
                          </w:p>
                        </w:tc>
                        <w:tc>
                          <w:tcPr>
                            <w:tcW w:w="1303" w:type="dxa"/>
                          </w:tcPr>
                          <w:p>
                            <w:pPr>
                              <w:pStyle w:val="10"/>
                              <w:spacing w:before="129"/>
                              <w:ind w:left="149" w:right="139"/>
                              <w:jc w:val="center"/>
                              <w:rPr>
                                <w:sz w:val="32"/>
                                <w:lang w:eastAsia="en-US"/>
                              </w:rPr>
                            </w:pPr>
                            <w:r>
                              <w:rPr>
                                <w:sz w:val="32"/>
                                <w:lang w:eastAsia="en-US"/>
                              </w:rPr>
                              <w:t>B+</w:t>
                            </w:r>
                          </w:p>
                        </w:tc>
                        <w:tc>
                          <w:tcPr>
                            <w:tcW w:w="1234" w:type="dxa"/>
                          </w:tcPr>
                          <w:p>
                            <w:pPr>
                              <w:pStyle w:val="10"/>
                              <w:spacing w:before="129"/>
                              <w:ind w:left="276" w:right="267"/>
                              <w:jc w:val="center"/>
                              <w:rPr>
                                <w:sz w:val="32"/>
                                <w:lang w:eastAsia="en-US"/>
                              </w:rPr>
                            </w:pPr>
                            <w:r>
                              <w:rPr>
                                <w:sz w:val="32"/>
                                <w:lang w:eastAsia="en-US"/>
                              </w:rPr>
                              <w:t>3.3</w:t>
                            </w:r>
                          </w:p>
                        </w:tc>
                        <w:tc>
                          <w:tcPr>
                            <w:tcW w:w="986" w:type="dxa"/>
                            <w:vMerge w:val="restart"/>
                          </w:tcPr>
                          <w:p>
                            <w:pPr>
                              <w:pStyle w:val="10"/>
                              <w:rPr>
                                <w:sz w:val="32"/>
                                <w:lang w:eastAsia="en-US"/>
                              </w:rPr>
                            </w:pPr>
                          </w:p>
                          <w:p>
                            <w:pPr>
                              <w:pStyle w:val="10"/>
                              <w:spacing w:before="288"/>
                              <w:ind w:left="7"/>
                              <w:jc w:val="center"/>
                              <w:rPr>
                                <w:sz w:val="32"/>
                                <w:lang w:eastAsia="en-US"/>
                              </w:rPr>
                            </w:pPr>
                            <w:r>
                              <w:rPr>
                                <w:w w:val="99"/>
                                <w:sz w:val="32"/>
                                <w:lang w:eastAsia="en-US"/>
                              </w:rPr>
                              <w:t>B</w:t>
                            </w:r>
                          </w:p>
                        </w:tc>
                        <w:tc>
                          <w:tcPr>
                            <w:tcW w:w="997" w:type="dxa"/>
                            <w:vMerge w:val="restart"/>
                          </w:tcPr>
                          <w:p>
                            <w:pPr>
                              <w:pStyle w:val="10"/>
                              <w:rPr>
                                <w:sz w:val="32"/>
                                <w:lang w:eastAsia="en-US"/>
                              </w:rPr>
                            </w:pPr>
                          </w:p>
                          <w:p>
                            <w:pPr>
                              <w:pStyle w:val="10"/>
                              <w:spacing w:before="288"/>
                              <w:ind w:left="258"/>
                              <w:rPr>
                                <w:sz w:val="32"/>
                                <w:lang w:eastAsia="en-US"/>
                              </w:rPr>
                            </w:pPr>
                            <w:r>
                              <w:rPr>
                                <w:sz w:val="32"/>
                                <w:lang w:eastAsia="en-US"/>
                              </w:rPr>
                              <w:t>3.0</w:t>
                            </w:r>
                          </w:p>
                        </w:tc>
                        <w:tc>
                          <w:tcPr>
                            <w:tcW w:w="1052" w:type="dxa"/>
                            <w:vMerge w:val="continue"/>
                            <w:tcBorders>
                              <w:top w:val="nil"/>
                            </w:tcBorders>
                          </w:tcPr>
                          <w:p>
                            <w:pPr>
                              <w:rPr>
                                <w:sz w:val="2"/>
                                <w:szCs w:val="2"/>
                                <w:lang w:eastAsia="en-US"/>
                              </w:rPr>
                            </w:pPr>
                          </w:p>
                        </w:tc>
                        <w:tc>
                          <w:tcPr>
                            <w:tcW w:w="961"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0" w:type="dxa"/>
                          </w:tcPr>
                          <w:p>
                            <w:pPr>
                              <w:pStyle w:val="10"/>
                              <w:spacing w:before="128"/>
                              <w:ind w:left="371"/>
                              <w:rPr>
                                <w:sz w:val="32"/>
                                <w:lang w:eastAsia="en-US"/>
                              </w:rPr>
                            </w:pPr>
                            <w:r>
                              <w:rPr>
                                <w:sz w:val="32"/>
                                <w:lang w:eastAsia="en-US"/>
                              </w:rPr>
                              <w:t>[78,82)</w:t>
                            </w:r>
                          </w:p>
                        </w:tc>
                        <w:tc>
                          <w:tcPr>
                            <w:tcW w:w="1303" w:type="dxa"/>
                          </w:tcPr>
                          <w:p>
                            <w:pPr>
                              <w:pStyle w:val="10"/>
                              <w:spacing w:before="128"/>
                              <w:ind w:left="7"/>
                              <w:jc w:val="center"/>
                              <w:rPr>
                                <w:sz w:val="32"/>
                                <w:lang w:eastAsia="en-US"/>
                              </w:rPr>
                            </w:pPr>
                            <w:r>
                              <w:rPr>
                                <w:w w:val="99"/>
                                <w:sz w:val="32"/>
                                <w:lang w:eastAsia="en-US"/>
                              </w:rPr>
                              <w:t>B</w:t>
                            </w:r>
                          </w:p>
                        </w:tc>
                        <w:tc>
                          <w:tcPr>
                            <w:tcW w:w="1234" w:type="dxa"/>
                          </w:tcPr>
                          <w:p>
                            <w:pPr>
                              <w:pStyle w:val="10"/>
                              <w:spacing w:before="128"/>
                              <w:ind w:left="276" w:right="267"/>
                              <w:jc w:val="center"/>
                              <w:rPr>
                                <w:sz w:val="32"/>
                                <w:lang w:eastAsia="en-US"/>
                              </w:rPr>
                            </w:pPr>
                            <w:r>
                              <w:rPr>
                                <w:sz w:val="32"/>
                                <w:lang w:eastAsia="en-US"/>
                              </w:rPr>
                              <w:t>3.0</w:t>
                            </w:r>
                          </w:p>
                        </w:tc>
                        <w:tc>
                          <w:tcPr>
                            <w:tcW w:w="986" w:type="dxa"/>
                            <w:vMerge w:val="continue"/>
                            <w:tcBorders>
                              <w:top w:val="nil"/>
                            </w:tcBorders>
                          </w:tcPr>
                          <w:p>
                            <w:pPr>
                              <w:rPr>
                                <w:sz w:val="2"/>
                                <w:szCs w:val="2"/>
                                <w:lang w:eastAsia="en-US"/>
                              </w:rPr>
                            </w:pPr>
                          </w:p>
                        </w:tc>
                        <w:tc>
                          <w:tcPr>
                            <w:tcW w:w="997" w:type="dxa"/>
                            <w:vMerge w:val="continue"/>
                            <w:tcBorders>
                              <w:top w:val="nil"/>
                            </w:tcBorders>
                          </w:tcPr>
                          <w:p>
                            <w:pPr>
                              <w:rPr>
                                <w:sz w:val="2"/>
                                <w:szCs w:val="2"/>
                                <w:lang w:eastAsia="en-US"/>
                              </w:rPr>
                            </w:pPr>
                          </w:p>
                        </w:tc>
                        <w:tc>
                          <w:tcPr>
                            <w:tcW w:w="1052" w:type="dxa"/>
                            <w:vMerge w:val="continue"/>
                            <w:tcBorders>
                              <w:top w:val="nil"/>
                            </w:tcBorders>
                          </w:tcPr>
                          <w:p>
                            <w:pPr>
                              <w:rPr>
                                <w:sz w:val="2"/>
                                <w:szCs w:val="2"/>
                                <w:lang w:eastAsia="en-US"/>
                              </w:rPr>
                            </w:pPr>
                          </w:p>
                        </w:tc>
                        <w:tc>
                          <w:tcPr>
                            <w:tcW w:w="961"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0" w:type="dxa"/>
                          </w:tcPr>
                          <w:p>
                            <w:pPr>
                              <w:pStyle w:val="10"/>
                              <w:spacing w:before="129"/>
                              <w:ind w:left="371"/>
                              <w:rPr>
                                <w:sz w:val="32"/>
                                <w:lang w:eastAsia="en-US"/>
                              </w:rPr>
                            </w:pPr>
                            <w:r>
                              <w:rPr>
                                <w:sz w:val="32"/>
                                <w:lang w:eastAsia="en-US"/>
                              </w:rPr>
                              <w:t>[75,78)</w:t>
                            </w:r>
                          </w:p>
                        </w:tc>
                        <w:tc>
                          <w:tcPr>
                            <w:tcW w:w="1303" w:type="dxa"/>
                          </w:tcPr>
                          <w:p>
                            <w:pPr>
                              <w:pStyle w:val="10"/>
                              <w:spacing w:before="129"/>
                              <w:ind w:left="149" w:right="139"/>
                              <w:jc w:val="center"/>
                              <w:rPr>
                                <w:sz w:val="32"/>
                                <w:lang w:eastAsia="en-US"/>
                              </w:rPr>
                            </w:pPr>
                            <w:r>
                              <w:rPr>
                                <w:sz w:val="32"/>
                                <w:lang w:eastAsia="en-US"/>
                              </w:rPr>
                              <w:t>B-</w:t>
                            </w:r>
                          </w:p>
                        </w:tc>
                        <w:tc>
                          <w:tcPr>
                            <w:tcW w:w="1234" w:type="dxa"/>
                          </w:tcPr>
                          <w:p>
                            <w:pPr>
                              <w:pStyle w:val="10"/>
                              <w:spacing w:before="129"/>
                              <w:ind w:left="276" w:right="267"/>
                              <w:jc w:val="center"/>
                              <w:rPr>
                                <w:sz w:val="32"/>
                                <w:lang w:eastAsia="en-US"/>
                              </w:rPr>
                            </w:pPr>
                            <w:r>
                              <w:rPr>
                                <w:sz w:val="32"/>
                                <w:lang w:eastAsia="en-US"/>
                              </w:rPr>
                              <w:t>2.7</w:t>
                            </w:r>
                          </w:p>
                        </w:tc>
                        <w:tc>
                          <w:tcPr>
                            <w:tcW w:w="986" w:type="dxa"/>
                            <w:vMerge w:val="continue"/>
                            <w:tcBorders>
                              <w:top w:val="nil"/>
                            </w:tcBorders>
                          </w:tcPr>
                          <w:p>
                            <w:pPr>
                              <w:rPr>
                                <w:sz w:val="2"/>
                                <w:szCs w:val="2"/>
                                <w:lang w:eastAsia="en-US"/>
                              </w:rPr>
                            </w:pPr>
                          </w:p>
                        </w:tc>
                        <w:tc>
                          <w:tcPr>
                            <w:tcW w:w="997" w:type="dxa"/>
                            <w:vMerge w:val="continue"/>
                            <w:tcBorders>
                              <w:top w:val="nil"/>
                            </w:tcBorders>
                          </w:tcPr>
                          <w:p>
                            <w:pPr>
                              <w:rPr>
                                <w:sz w:val="2"/>
                                <w:szCs w:val="2"/>
                                <w:lang w:eastAsia="en-US"/>
                              </w:rPr>
                            </w:pPr>
                          </w:p>
                        </w:tc>
                        <w:tc>
                          <w:tcPr>
                            <w:tcW w:w="1052" w:type="dxa"/>
                            <w:vMerge w:val="continue"/>
                            <w:tcBorders>
                              <w:top w:val="nil"/>
                            </w:tcBorders>
                          </w:tcPr>
                          <w:p>
                            <w:pPr>
                              <w:rPr>
                                <w:sz w:val="2"/>
                                <w:szCs w:val="2"/>
                                <w:lang w:eastAsia="en-US"/>
                              </w:rPr>
                            </w:pPr>
                          </w:p>
                        </w:tc>
                        <w:tc>
                          <w:tcPr>
                            <w:tcW w:w="961"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7" w:hRule="atLeast"/>
                        </w:trPr>
                        <w:tc>
                          <w:tcPr>
                            <w:tcW w:w="1680" w:type="dxa"/>
                          </w:tcPr>
                          <w:p>
                            <w:pPr>
                              <w:pStyle w:val="10"/>
                              <w:spacing w:before="128"/>
                              <w:ind w:left="371"/>
                              <w:rPr>
                                <w:sz w:val="32"/>
                                <w:lang w:eastAsia="en-US"/>
                              </w:rPr>
                            </w:pPr>
                            <w:r>
                              <w:rPr>
                                <w:sz w:val="32"/>
                                <w:lang w:eastAsia="en-US"/>
                              </w:rPr>
                              <w:t>[71,75)</w:t>
                            </w:r>
                          </w:p>
                        </w:tc>
                        <w:tc>
                          <w:tcPr>
                            <w:tcW w:w="1303" w:type="dxa"/>
                          </w:tcPr>
                          <w:p>
                            <w:pPr>
                              <w:pStyle w:val="10"/>
                              <w:spacing w:before="128"/>
                              <w:ind w:left="149" w:right="139"/>
                              <w:jc w:val="center"/>
                              <w:rPr>
                                <w:sz w:val="32"/>
                                <w:lang w:eastAsia="en-US"/>
                              </w:rPr>
                            </w:pPr>
                            <w:r>
                              <w:rPr>
                                <w:sz w:val="32"/>
                                <w:lang w:eastAsia="en-US"/>
                              </w:rPr>
                              <w:t>C+</w:t>
                            </w:r>
                          </w:p>
                        </w:tc>
                        <w:tc>
                          <w:tcPr>
                            <w:tcW w:w="1234" w:type="dxa"/>
                          </w:tcPr>
                          <w:p>
                            <w:pPr>
                              <w:pStyle w:val="10"/>
                              <w:spacing w:before="128"/>
                              <w:ind w:left="276" w:right="267"/>
                              <w:jc w:val="center"/>
                              <w:rPr>
                                <w:sz w:val="32"/>
                                <w:lang w:eastAsia="en-US"/>
                              </w:rPr>
                            </w:pPr>
                            <w:r>
                              <w:rPr>
                                <w:sz w:val="32"/>
                                <w:lang w:eastAsia="en-US"/>
                              </w:rPr>
                              <w:t>2.3</w:t>
                            </w:r>
                          </w:p>
                        </w:tc>
                        <w:tc>
                          <w:tcPr>
                            <w:tcW w:w="986" w:type="dxa"/>
                          </w:tcPr>
                          <w:p>
                            <w:pPr>
                              <w:pStyle w:val="10"/>
                              <w:spacing w:before="128"/>
                              <w:ind w:left="7"/>
                              <w:jc w:val="center"/>
                              <w:rPr>
                                <w:sz w:val="32"/>
                                <w:lang w:eastAsia="en-US"/>
                              </w:rPr>
                            </w:pPr>
                            <w:r>
                              <w:rPr>
                                <w:w w:val="99"/>
                                <w:sz w:val="32"/>
                                <w:lang w:eastAsia="en-US"/>
                              </w:rPr>
                              <w:t>C</w:t>
                            </w:r>
                          </w:p>
                        </w:tc>
                        <w:tc>
                          <w:tcPr>
                            <w:tcW w:w="997" w:type="dxa"/>
                          </w:tcPr>
                          <w:p>
                            <w:pPr>
                              <w:pStyle w:val="10"/>
                              <w:spacing w:before="128"/>
                              <w:ind w:left="156" w:right="147"/>
                              <w:jc w:val="center"/>
                              <w:rPr>
                                <w:sz w:val="32"/>
                                <w:lang w:eastAsia="en-US"/>
                              </w:rPr>
                            </w:pPr>
                            <w:r>
                              <w:rPr>
                                <w:sz w:val="32"/>
                                <w:lang w:eastAsia="en-US"/>
                              </w:rPr>
                              <w:t>2.0</w:t>
                            </w:r>
                          </w:p>
                        </w:tc>
                        <w:tc>
                          <w:tcPr>
                            <w:tcW w:w="1052" w:type="dxa"/>
                            <w:vMerge w:val="continue"/>
                            <w:tcBorders>
                              <w:top w:val="nil"/>
                            </w:tcBorders>
                          </w:tcPr>
                          <w:p>
                            <w:pPr>
                              <w:rPr>
                                <w:sz w:val="2"/>
                                <w:szCs w:val="2"/>
                                <w:lang w:eastAsia="en-US"/>
                              </w:rPr>
                            </w:pPr>
                          </w:p>
                        </w:tc>
                        <w:tc>
                          <w:tcPr>
                            <w:tcW w:w="961" w:type="dxa"/>
                            <w:vMerge w:val="continue"/>
                            <w:tcBorders>
                              <w:top w:val="nil"/>
                            </w:tcBorders>
                          </w:tcPr>
                          <w:p>
                            <w:pPr>
                              <w:rPr>
                                <w:sz w:val="2"/>
                                <w:szCs w:val="2"/>
                                <w:lang w:eastAsia="en-US"/>
                              </w:rPr>
                            </w:pPr>
                          </w:p>
                        </w:tc>
                      </w:tr>
                    </w:tbl>
                    <w:p>
                      <w:pPr>
                        <w:pStyle w:val="2"/>
                      </w:pPr>
                    </w:p>
                  </w:txbxContent>
                </v:textbox>
              </v:shape>
            </w:pict>
          </mc:Fallback>
        </mc:AlternateContent>
      </w:r>
      <w:r>
        <w:t>D、D-、F</w:t>
      </w:r>
      <w:r>
        <w:rPr>
          <w:spacing w:val="-1"/>
        </w:rPr>
        <w:t xml:space="preserve"> 和</w:t>
      </w:r>
      <w:r>
        <w:t>P</w:t>
      </w:r>
      <w:r>
        <w:rPr>
          <w:spacing w:val="-20"/>
        </w:rPr>
        <w:t xml:space="preserve"> 十三种形式，除 </w:t>
      </w:r>
      <w:r>
        <w:t>P</w:t>
      </w:r>
      <w:r>
        <w:rPr>
          <w:spacing w:val="-10"/>
        </w:rPr>
        <w:t xml:space="preserve"> 以外，其他等级形式均对应一个绩点。各种成绩录入形式及绩点值对应关系如下：</w:t>
      </w:r>
    </w:p>
    <w:p>
      <w:pPr>
        <w:spacing w:line="316" w:lineRule="auto"/>
        <w:sectPr>
          <w:pgSz w:w="11910" w:h="16840"/>
          <w:pgMar w:top="1500" w:right="580" w:bottom="1100" w:left="900" w:header="0" w:footer="836" w:gutter="0"/>
          <w:cols w:space="720" w:num="1"/>
        </w:sectPr>
      </w:pPr>
    </w:p>
    <w:tbl>
      <w:tblPr>
        <w:tblStyle w:val="11"/>
        <w:tblW w:w="8213" w:type="dxa"/>
        <w:tblInd w:w="95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1303"/>
        <w:gridCol w:w="1234"/>
        <w:gridCol w:w="986"/>
        <w:gridCol w:w="997"/>
        <w:gridCol w:w="1052"/>
        <w:gridCol w:w="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0" w:hRule="atLeast"/>
        </w:trPr>
        <w:tc>
          <w:tcPr>
            <w:tcW w:w="1680" w:type="dxa"/>
          </w:tcPr>
          <w:p>
            <w:pPr>
              <w:pStyle w:val="10"/>
              <w:spacing w:before="129"/>
              <w:ind w:left="351" w:right="159"/>
              <w:jc w:val="center"/>
              <w:rPr>
                <w:sz w:val="32"/>
                <w:lang w:eastAsia="en-US"/>
              </w:rPr>
            </w:pPr>
            <w:r>
              <w:rPr>
                <w:sz w:val="32"/>
                <w:lang w:eastAsia="en-US"/>
              </w:rPr>
              <w:t>[66,71)</w:t>
            </w:r>
          </w:p>
        </w:tc>
        <w:tc>
          <w:tcPr>
            <w:tcW w:w="1303" w:type="dxa"/>
          </w:tcPr>
          <w:p>
            <w:pPr>
              <w:pStyle w:val="10"/>
              <w:spacing w:before="129"/>
              <w:ind w:left="7"/>
              <w:jc w:val="center"/>
              <w:rPr>
                <w:sz w:val="32"/>
                <w:lang w:eastAsia="en-US"/>
              </w:rPr>
            </w:pPr>
            <w:r>
              <w:rPr>
                <w:w w:val="99"/>
                <w:sz w:val="32"/>
                <w:lang w:eastAsia="en-US"/>
              </w:rPr>
              <w:t>C</w:t>
            </w:r>
          </w:p>
        </w:tc>
        <w:tc>
          <w:tcPr>
            <w:tcW w:w="1234" w:type="dxa"/>
          </w:tcPr>
          <w:p>
            <w:pPr>
              <w:pStyle w:val="10"/>
              <w:spacing w:before="129"/>
              <w:ind w:left="276" w:right="267"/>
              <w:jc w:val="center"/>
              <w:rPr>
                <w:sz w:val="32"/>
                <w:lang w:eastAsia="en-US"/>
              </w:rPr>
            </w:pPr>
            <w:r>
              <w:rPr>
                <w:sz w:val="32"/>
                <w:lang w:eastAsia="en-US"/>
              </w:rPr>
              <w:t>2.0</w:t>
            </w:r>
          </w:p>
        </w:tc>
        <w:tc>
          <w:tcPr>
            <w:tcW w:w="986" w:type="dxa"/>
            <w:vMerge w:val="restart"/>
          </w:tcPr>
          <w:p>
            <w:pPr>
              <w:pStyle w:val="10"/>
              <w:rPr>
                <w:rFonts w:ascii="Times New Roman"/>
                <w:sz w:val="30"/>
                <w:lang w:eastAsia="en-US"/>
              </w:rPr>
            </w:pPr>
          </w:p>
        </w:tc>
        <w:tc>
          <w:tcPr>
            <w:tcW w:w="997" w:type="dxa"/>
            <w:vMerge w:val="restart"/>
          </w:tcPr>
          <w:p>
            <w:pPr>
              <w:pStyle w:val="10"/>
              <w:rPr>
                <w:rFonts w:ascii="Times New Roman"/>
                <w:sz w:val="30"/>
                <w:lang w:eastAsia="en-US"/>
              </w:rPr>
            </w:pPr>
          </w:p>
        </w:tc>
        <w:tc>
          <w:tcPr>
            <w:tcW w:w="1052" w:type="dxa"/>
            <w:vMerge w:val="restart"/>
          </w:tcPr>
          <w:p>
            <w:pPr>
              <w:pStyle w:val="10"/>
              <w:rPr>
                <w:rFonts w:ascii="Times New Roman"/>
                <w:sz w:val="30"/>
                <w:lang w:eastAsia="en-US"/>
              </w:rPr>
            </w:pPr>
          </w:p>
        </w:tc>
        <w:tc>
          <w:tcPr>
            <w:tcW w:w="961" w:type="dxa"/>
            <w:vMerge w:val="restart"/>
          </w:tcPr>
          <w:p>
            <w:pPr>
              <w:pStyle w:val="10"/>
              <w:rPr>
                <w:rFonts w:ascii="Times New Roman"/>
                <w:sz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0" w:hRule="atLeast"/>
        </w:trPr>
        <w:tc>
          <w:tcPr>
            <w:tcW w:w="1680" w:type="dxa"/>
          </w:tcPr>
          <w:p>
            <w:pPr>
              <w:pStyle w:val="10"/>
              <w:spacing w:before="128"/>
              <w:ind w:left="351" w:right="159"/>
              <w:jc w:val="center"/>
              <w:rPr>
                <w:sz w:val="32"/>
                <w:lang w:eastAsia="en-US"/>
              </w:rPr>
            </w:pPr>
            <w:r>
              <w:rPr>
                <w:sz w:val="32"/>
                <w:lang w:eastAsia="en-US"/>
              </w:rPr>
              <w:t>[62,66)</w:t>
            </w:r>
          </w:p>
        </w:tc>
        <w:tc>
          <w:tcPr>
            <w:tcW w:w="1303" w:type="dxa"/>
          </w:tcPr>
          <w:p>
            <w:pPr>
              <w:pStyle w:val="10"/>
              <w:spacing w:before="128"/>
              <w:ind w:left="149" w:right="139"/>
              <w:jc w:val="center"/>
              <w:rPr>
                <w:sz w:val="32"/>
                <w:lang w:eastAsia="en-US"/>
              </w:rPr>
            </w:pPr>
            <w:r>
              <w:rPr>
                <w:sz w:val="32"/>
                <w:lang w:eastAsia="en-US"/>
              </w:rPr>
              <w:t>C-</w:t>
            </w:r>
          </w:p>
        </w:tc>
        <w:tc>
          <w:tcPr>
            <w:tcW w:w="1234" w:type="dxa"/>
          </w:tcPr>
          <w:p>
            <w:pPr>
              <w:pStyle w:val="10"/>
              <w:spacing w:before="128"/>
              <w:ind w:left="276" w:right="267"/>
              <w:jc w:val="center"/>
              <w:rPr>
                <w:sz w:val="32"/>
                <w:lang w:eastAsia="en-US"/>
              </w:rPr>
            </w:pPr>
            <w:r>
              <w:rPr>
                <w:sz w:val="32"/>
                <w:lang w:eastAsia="en-US"/>
              </w:rPr>
              <w:t>1.7</w:t>
            </w:r>
          </w:p>
        </w:tc>
        <w:tc>
          <w:tcPr>
            <w:tcW w:w="986" w:type="dxa"/>
            <w:vMerge w:val="continue"/>
            <w:tcBorders>
              <w:top w:val="nil"/>
            </w:tcBorders>
          </w:tcPr>
          <w:p>
            <w:pPr>
              <w:rPr>
                <w:sz w:val="2"/>
                <w:szCs w:val="2"/>
                <w:lang w:eastAsia="en-US"/>
              </w:rPr>
            </w:pPr>
          </w:p>
        </w:tc>
        <w:tc>
          <w:tcPr>
            <w:tcW w:w="997" w:type="dxa"/>
            <w:vMerge w:val="continue"/>
            <w:tcBorders>
              <w:top w:val="nil"/>
            </w:tcBorders>
          </w:tcPr>
          <w:p>
            <w:pPr>
              <w:rPr>
                <w:sz w:val="2"/>
                <w:szCs w:val="2"/>
                <w:lang w:eastAsia="en-US"/>
              </w:rPr>
            </w:pPr>
          </w:p>
        </w:tc>
        <w:tc>
          <w:tcPr>
            <w:tcW w:w="1052" w:type="dxa"/>
            <w:vMerge w:val="continue"/>
            <w:tcBorders>
              <w:top w:val="nil"/>
            </w:tcBorders>
          </w:tcPr>
          <w:p>
            <w:pPr>
              <w:rPr>
                <w:sz w:val="2"/>
                <w:szCs w:val="2"/>
                <w:lang w:eastAsia="en-US"/>
              </w:rPr>
            </w:pPr>
          </w:p>
        </w:tc>
        <w:tc>
          <w:tcPr>
            <w:tcW w:w="961"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0" w:type="dxa"/>
          </w:tcPr>
          <w:p>
            <w:pPr>
              <w:pStyle w:val="10"/>
              <w:spacing w:before="129"/>
              <w:ind w:left="351" w:right="159"/>
              <w:jc w:val="center"/>
              <w:rPr>
                <w:sz w:val="32"/>
                <w:lang w:eastAsia="en-US"/>
              </w:rPr>
            </w:pPr>
            <w:r>
              <w:rPr>
                <w:sz w:val="32"/>
                <w:lang w:eastAsia="en-US"/>
              </w:rPr>
              <w:t>[60,62)</w:t>
            </w:r>
          </w:p>
        </w:tc>
        <w:tc>
          <w:tcPr>
            <w:tcW w:w="1303" w:type="dxa"/>
          </w:tcPr>
          <w:p>
            <w:pPr>
              <w:pStyle w:val="10"/>
              <w:spacing w:before="129"/>
              <w:ind w:left="7"/>
              <w:jc w:val="center"/>
              <w:rPr>
                <w:sz w:val="32"/>
                <w:lang w:eastAsia="en-US"/>
              </w:rPr>
            </w:pPr>
            <w:r>
              <w:rPr>
                <w:w w:val="99"/>
                <w:sz w:val="32"/>
                <w:lang w:eastAsia="en-US"/>
              </w:rPr>
              <w:t>D</w:t>
            </w:r>
          </w:p>
        </w:tc>
        <w:tc>
          <w:tcPr>
            <w:tcW w:w="1234" w:type="dxa"/>
          </w:tcPr>
          <w:p>
            <w:pPr>
              <w:pStyle w:val="10"/>
              <w:spacing w:before="129"/>
              <w:ind w:left="276" w:right="267"/>
              <w:jc w:val="center"/>
              <w:rPr>
                <w:sz w:val="32"/>
                <w:lang w:eastAsia="en-US"/>
              </w:rPr>
            </w:pPr>
            <w:r>
              <w:rPr>
                <w:sz w:val="32"/>
                <w:lang w:eastAsia="en-US"/>
              </w:rPr>
              <w:t>1.3</w:t>
            </w:r>
          </w:p>
        </w:tc>
        <w:tc>
          <w:tcPr>
            <w:tcW w:w="986" w:type="dxa"/>
          </w:tcPr>
          <w:p>
            <w:pPr>
              <w:pStyle w:val="10"/>
              <w:spacing w:before="129"/>
              <w:ind w:left="7"/>
              <w:jc w:val="center"/>
              <w:rPr>
                <w:sz w:val="32"/>
                <w:lang w:eastAsia="en-US"/>
              </w:rPr>
            </w:pPr>
            <w:r>
              <w:rPr>
                <w:w w:val="99"/>
                <w:sz w:val="32"/>
                <w:lang w:eastAsia="en-US"/>
              </w:rPr>
              <w:t>D</w:t>
            </w:r>
          </w:p>
        </w:tc>
        <w:tc>
          <w:tcPr>
            <w:tcW w:w="997" w:type="dxa"/>
          </w:tcPr>
          <w:p>
            <w:pPr>
              <w:pStyle w:val="10"/>
              <w:spacing w:before="129"/>
              <w:ind w:left="156" w:right="147"/>
              <w:jc w:val="center"/>
              <w:rPr>
                <w:sz w:val="32"/>
                <w:lang w:eastAsia="en-US"/>
              </w:rPr>
            </w:pPr>
            <w:r>
              <w:rPr>
                <w:sz w:val="32"/>
                <w:lang w:eastAsia="en-US"/>
              </w:rPr>
              <w:t>1.3</w:t>
            </w:r>
          </w:p>
        </w:tc>
        <w:tc>
          <w:tcPr>
            <w:tcW w:w="1052" w:type="dxa"/>
            <w:vMerge w:val="continue"/>
            <w:tcBorders>
              <w:top w:val="nil"/>
            </w:tcBorders>
          </w:tcPr>
          <w:p>
            <w:pPr>
              <w:rPr>
                <w:sz w:val="2"/>
                <w:szCs w:val="2"/>
                <w:lang w:eastAsia="en-US"/>
              </w:rPr>
            </w:pPr>
          </w:p>
        </w:tc>
        <w:tc>
          <w:tcPr>
            <w:tcW w:w="961" w:type="dxa"/>
            <w:vMerge w:val="continue"/>
            <w:tcBorders>
              <w:top w:val="nil"/>
            </w:tcBorders>
          </w:tcPr>
          <w:p>
            <w:pPr>
              <w:rPr>
                <w:sz w:val="2"/>
                <w:szCs w:val="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1680" w:type="dxa"/>
          </w:tcPr>
          <w:p>
            <w:pPr>
              <w:pStyle w:val="10"/>
              <w:spacing w:before="128"/>
              <w:ind w:left="351" w:right="159"/>
              <w:jc w:val="center"/>
              <w:rPr>
                <w:sz w:val="32"/>
                <w:lang w:eastAsia="en-US"/>
              </w:rPr>
            </w:pPr>
            <w:r>
              <w:rPr>
                <w:sz w:val="32"/>
                <w:lang w:eastAsia="en-US"/>
              </w:rPr>
              <w:t>[0,60)</w:t>
            </w:r>
          </w:p>
        </w:tc>
        <w:tc>
          <w:tcPr>
            <w:tcW w:w="1303" w:type="dxa"/>
          </w:tcPr>
          <w:p>
            <w:pPr>
              <w:pStyle w:val="10"/>
              <w:spacing w:before="128"/>
              <w:ind w:left="7"/>
              <w:jc w:val="center"/>
              <w:rPr>
                <w:sz w:val="32"/>
                <w:lang w:eastAsia="en-US"/>
              </w:rPr>
            </w:pPr>
            <w:r>
              <w:rPr>
                <w:w w:val="99"/>
                <w:sz w:val="32"/>
                <w:lang w:eastAsia="en-US"/>
              </w:rPr>
              <w:t>F</w:t>
            </w:r>
          </w:p>
        </w:tc>
        <w:tc>
          <w:tcPr>
            <w:tcW w:w="1234" w:type="dxa"/>
          </w:tcPr>
          <w:p>
            <w:pPr>
              <w:pStyle w:val="10"/>
              <w:spacing w:before="128"/>
              <w:ind w:left="9"/>
              <w:jc w:val="center"/>
              <w:rPr>
                <w:sz w:val="32"/>
                <w:lang w:eastAsia="en-US"/>
              </w:rPr>
            </w:pPr>
            <w:r>
              <w:rPr>
                <w:w w:val="99"/>
                <w:sz w:val="32"/>
                <w:lang w:eastAsia="en-US"/>
              </w:rPr>
              <w:t>0</w:t>
            </w:r>
          </w:p>
        </w:tc>
        <w:tc>
          <w:tcPr>
            <w:tcW w:w="986" w:type="dxa"/>
          </w:tcPr>
          <w:p>
            <w:pPr>
              <w:pStyle w:val="10"/>
              <w:spacing w:before="128"/>
              <w:ind w:left="7"/>
              <w:jc w:val="center"/>
              <w:rPr>
                <w:sz w:val="32"/>
                <w:lang w:eastAsia="en-US"/>
              </w:rPr>
            </w:pPr>
            <w:r>
              <w:rPr>
                <w:w w:val="99"/>
                <w:sz w:val="32"/>
                <w:lang w:eastAsia="en-US"/>
              </w:rPr>
              <w:t>F</w:t>
            </w:r>
          </w:p>
        </w:tc>
        <w:tc>
          <w:tcPr>
            <w:tcW w:w="997" w:type="dxa"/>
          </w:tcPr>
          <w:p>
            <w:pPr>
              <w:pStyle w:val="10"/>
              <w:spacing w:before="128"/>
              <w:ind w:left="6"/>
              <w:jc w:val="center"/>
              <w:rPr>
                <w:sz w:val="32"/>
                <w:lang w:eastAsia="en-US"/>
              </w:rPr>
            </w:pPr>
            <w:r>
              <w:rPr>
                <w:w w:val="99"/>
                <w:sz w:val="32"/>
                <w:lang w:eastAsia="en-US"/>
              </w:rPr>
              <w:t>0</w:t>
            </w:r>
          </w:p>
        </w:tc>
        <w:tc>
          <w:tcPr>
            <w:tcW w:w="1052" w:type="dxa"/>
          </w:tcPr>
          <w:p>
            <w:pPr>
              <w:pStyle w:val="10"/>
              <w:spacing w:before="128"/>
              <w:ind w:left="7"/>
              <w:jc w:val="center"/>
              <w:rPr>
                <w:sz w:val="32"/>
                <w:lang w:eastAsia="en-US"/>
              </w:rPr>
            </w:pPr>
            <w:r>
              <w:rPr>
                <w:w w:val="99"/>
                <w:sz w:val="32"/>
                <w:lang w:eastAsia="en-US"/>
              </w:rPr>
              <w:t>F</w:t>
            </w:r>
          </w:p>
        </w:tc>
        <w:tc>
          <w:tcPr>
            <w:tcW w:w="961" w:type="dxa"/>
          </w:tcPr>
          <w:p>
            <w:pPr>
              <w:pStyle w:val="10"/>
              <w:spacing w:before="128"/>
              <w:ind w:left="5"/>
              <w:jc w:val="center"/>
              <w:rPr>
                <w:sz w:val="32"/>
                <w:lang w:eastAsia="en-US"/>
              </w:rPr>
            </w:pPr>
            <w:r>
              <w:rPr>
                <w:w w:val="99"/>
                <w:sz w:val="32"/>
                <w:lang w:eastAsia="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213" w:type="dxa"/>
            <w:gridSpan w:val="7"/>
          </w:tcPr>
          <w:p>
            <w:pPr>
              <w:pStyle w:val="10"/>
              <w:spacing w:before="129"/>
              <w:ind w:left="1225"/>
              <w:rPr>
                <w:sz w:val="32"/>
                <w:lang w:eastAsia="zh-CN"/>
              </w:rPr>
            </w:pPr>
            <w:r>
              <w:rPr>
                <w:sz w:val="32"/>
                <w:lang w:eastAsia="zh-CN"/>
              </w:rPr>
              <w:t>补考或重修及格等级记为 D-，绩点为 1.0</w:t>
            </w:r>
          </w:p>
        </w:tc>
      </w:tr>
    </w:tbl>
    <w:p>
      <w:pPr>
        <w:pStyle w:val="2"/>
        <w:spacing w:before="12"/>
        <w:rPr>
          <w:sz w:val="5"/>
        </w:rPr>
      </w:pPr>
    </w:p>
    <w:p>
      <w:pPr>
        <w:pStyle w:val="2"/>
        <w:spacing w:before="54"/>
        <w:ind w:left="1166"/>
      </w:pPr>
      <w:r>
        <w:t>注：[a,b)表示大于 b 且小于等于 a。</w:t>
      </w:r>
    </w:p>
    <w:p>
      <w:pPr>
        <w:pStyle w:val="2"/>
        <w:spacing w:before="152" w:after="20"/>
        <w:ind w:left="1327"/>
      </w:pPr>
      <w:r>
        <w:t>等级制进行计算时对应的百分制如下：</w:t>
      </w:r>
    </w:p>
    <w:tbl>
      <w:tblPr>
        <w:tblStyle w:val="11"/>
        <w:tblW w:w="8244" w:type="dxa"/>
        <w:tblInd w:w="9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475"/>
        <w:gridCol w:w="580"/>
        <w:gridCol w:w="580"/>
        <w:gridCol w:w="579"/>
        <w:gridCol w:w="580"/>
        <w:gridCol w:w="580"/>
        <w:gridCol w:w="579"/>
        <w:gridCol w:w="580"/>
        <w:gridCol w:w="580"/>
        <w:gridCol w:w="579"/>
        <w:gridCol w:w="580"/>
        <w:gridCol w:w="580"/>
        <w:gridCol w:w="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20" w:hRule="atLeast"/>
        </w:trPr>
        <w:tc>
          <w:tcPr>
            <w:tcW w:w="932" w:type="dxa"/>
          </w:tcPr>
          <w:p>
            <w:pPr>
              <w:pStyle w:val="10"/>
              <w:spacing w:before="1" w:line="560" w:lineRule="exact"/>
              <w:ind w:left="304" w:right="135" w:hanging="159"/>
              <w:rPr>
                <w:sz w:val="32"/>
                <w:lang w:eastAsia="en-US"/>
              </w:rPr>
            </w:pPr>
            <w:r>
              <w:rPr>
                <w:sz w:val="32"/>
                <w:lang w:eastAsia="en-US"/>
              </w:rPr>
              <w:t>等级制</w:t>
            </w:r>
          </w:p>
        </w:tc>
        <w:tc>
          <w:tcPr>
            <w:tcW w:w="475" w:type="dxa"/>
          </w:tcPr>
          <w:p>
            <w:pPr>
              <w:pStyle w:val="10"/>
              <w:spacing w:before="26" w:line="575" w:lineRule="exact"/>
              <w:ind w:left="123"/>
              <w:rPr>
                <w:rFonts w:ascii="微软雅黑"/>
                <w:sz w:val="32"/>
                <w:lang w:eastAsia="en-US"/>
              </w:rPr>
            </w:pPr>
            <w:r>
              <w:rPr>
                <w:rFonts w:ascii="微软雅黑"/>
                <w:w w:val="99"/>
                <w:sz w:val="32"/>
                <w:lang w:eastAsia="en-US"/>
              </w:rPr>
              <w:t>A</w:t>
            </w:r>
          </w:p>
          <w:p>
            <w:pPr>
              <w:pStyle w:val="10"/>
              <w:spacing w:line="499" w:lineRule="exact"/>
              <w:ind w:left="119"/>
              <w:rPr>
                <w:rFonts w:ascii="微软雅黑"/>
                <w:sz w:val="32"/>
                <w:lang w:eastAsia="en-US"/>
              </w:rPr>
            </w:pPr>
            <w:r>
              <w:rPr>
                <w:rFonts w:ascii="微软雅黑"/>
                <w:w w:val="99"/>
                <w:sz w:val="32"/>
                <w:lang w:eastAsia="en-US"/>
              </w:rPr>
              <w:t>+</w:t>
            </w:r>
          </w:p>
        </w:tc>
        <w:tc>
          <w:tcPr>
            <w:tcW w:w="580" w:type="dxa"/>
          </w:tcPr>
          <w:p>
            <w:pPr>
              <w:pStyle w:val="10"/>
              <w:spacing w:before="305"/>
              <w:ind w:left="8"/>
              <w:jc w:val="center"/>
              <w:rPr>
                <w:rFonts w:ascii="微软雅黑"/>
                <w:sz w:val="32"/>
                <w:lang w:eastAsia="en-US"/>
              </w:rPr>
            </w:pPr>
            <w:r>
              <w:rPr>
                <w:rFonts w:ascii="微软雅黑"/>
                <w:w w:val="99"/>
                <w:sz w:val="32"/>
                <w:lang w:eastAsia="en-US"/>
              </w:rPr>
              <w:t>A</w:t>
            </w:r>
          </w:p>
        </w:tc>
        <w:tc>
          <w:tcPr>
            <w:tcW w:w="580" w:type="dxa"/>
          </w:tcPr>
          <w:p>
            <w:pPr>
              <w:pStyle w:val="10"/>
              <w:spacing w:before="305"/>
              <w:ind w:left="42" w:right="33"/>
              <w:jc w:val="center"/>
              <w:rPr>
                <w:rFonts w:ascii="微软雅黑"/>
                <w:sz w:val="32"/>
                <w:lang w:eastAsia="en-US"/>
              </w:rPr>
            </w:pPr>
            <w:r>
              <w:rPr>
                <w:rFonts w:ascii="微软雅黑"/>
                <w:sz w:val="32"/>
                <w:lang w:eastAsia="en-US"/>
              </w:rPr>
              <w:t>A-</w:t>
            </w:r>
          </w:p>
        </w:tc>
        <w:tc>
          <w:tcPr>
            <w:tcW w:w="579" w:type="dxa"/>
          </w:tcPr>
          <w:p>
            <w:pPr>
              <w:pStyle w:val="10"/>
              <w:spacing w:before="305"/>
              <w:ind w:left="48" w:right="41"/>
              <w:jc w:val="center"/>
              <w:rPr>
                <w:rFonts w:ascii="微软雅黑"/>
                <w:sz w:val="32"/>
                <w:lang w:eastAsia="en-US"/>
              </w:rPr>
            </w:pPr>
            <w:r>
              <w:rPr>
                <w:rFonts w:ascii="微软雅黑"/>
                <w:sz w:val="32"/>
                <w:lang w:eastAsia="en-US"/>
              </w:rPr>
              <w:t>B+</w:t>
            </w:r>
          </w:p>
        </w:tc>
        <w:tc>
          <w:tcPr>
            <w:tcW w:w="580" w:type="dxa"/>
          </w:tcPr>
          <w:p>
            <w:pPr>
              <w:pStyle w:val="10"/>
              <w:spacing w:before="305"/>
              <w:ind w:left="10"/>
              <w:jc w:val="center"/>
              <w:rPr>
                <w:rFonts w:ascii="微软雅黑"/>
                <w:sz w:val="32"/>
                <w:lang w:eastAsia="en-US"/>
              </w:rPr>
            </w:pPr>
            <w:r>
              <w:rPr>
                <w:rFonts w:ascii="微软雅黑"/>
                <w:w w:val="99"/>
                <w:sz w:val="32"/>
                <w:lang w:eastAsia="en-US"/>
              </w:rPr>
              <w:t>B</w:t>
            </w:r>
          </w:p>
        </w:tc>
        <w:tc>
          <w:tcPr>
            <w:tcW w:w="580" w:type="dxa"/>
          </w:tcPr>
          <w:p>
            <w:pPr>
              <w:pStyle w:val="10"/>
              <w:spacing w:before="305"/>
              <w:ind w:left="42" w:right="33"/>
              <w:jc w:val="center"/>
              <w:rPr>
                <w:rFonts w:ascii="微软雅黑"/>
                <w:sz w:val="32"/>
                <w:lang w:eastAsia="en-US"/>
              </w:rPr>
            </w:pPr>
            <w:r>
              <w:rPr>
                <w:rFonts w:ascii="微软雅黑"/>
                <w:sz w:val="32"/>
                <w:lang w:eastAsia="en-US"/>
              </w:rPr>
              <w:t>B-</w:t>
            </w:r>
          </w:p>
        </w:tc>
        <w:tc>
          <w:tcPr>
            <w:tcW w:w="579" w:type="dxa"/>
          </w:tcPr>
          <w:p>
            <w:pPr>
              <w:pStyle w:val="10"/>
              <w:spacing w:before="305"/>
              <w:ind w:left="9"/>
              <w:jc w:val="center"/>
              <w:rPr>
                <w:rFonts w:ascii="微软雅黑"/>
                <w:sz w:val="32"/>
                <w:lang w:eastAsia="en-US"/>
              </w:rPr>
            </w:pPr>
            <w:r>
              <w:rPr>
                <w:rFonts w:ascii="微软雅黑"/>
                <w:w w:val="99"/>
                <w:sz w:val="32"/>
                <w:lang w:eastAsia="en-US"/>
              </w:rPr>
              <w:t>P</w:t>
            </w:r>
          </w:p>
        </w:tc>
        <w:tc>
          <w:tcPr>
            <w:tcW w:w="580" w:type="dxa"/>
          </w:tcPr>
          <w:p>
            <w:pPr>
              <w:pStyle w:val="10"/>
              <w:spacing w:before="305"/>
              <w:ind w:left="42" w:right="35"/>
              <w:jc w:val="center"/>
              <w:rPr>
                <w:rFonts w:ascii="微软雅黑"/>
                <w:sz w:val="32"/>
                <w:lang w:eastAsia="en-US"/>
              </w:rPr>
            </w:pPr>
            <w:r>
              <w:rPr>
                <w:rFonts w:ascii="微软雅黑"/>
                <w:sz w:val="32"/>
                <w:lang w:eastAsia="en-US"/>
              </w:rPr>
              <w:t>C+</w:t>
            </w:r>
          </w:p>
        </w:tc>
        <w:tc>
          <w:tcPr>
            <w:tcW w:w="580" w:type="dxa"/>
          </w:tcPr>
          <w:p>
            <w:pPr>
              <w:pStyle w:val="10"/>
              <w:spacing w:before="305"/>
              <w:ind w:left="7"/>
              <w:jc w:val="center"/>
              <w:rPr>
                <w:rFonts w:ascii="微软雅黑"/>
                <w:sz w:val="32"/>
                <w:lang w:eastAsia="en-US"/>
              </w:rPr>
            </w:pPr>
            <w:r>
              <w:rPr>
                <w:rFonts w:ascii="微软雅黑"/>
                <w:w w:val="99"/>
                <w:sz w:val="32"/>
                <w:lang w:eastAsia="en-US"/>
              </w:rPr>
              <w:t>C</w:t>
            </w:r>
          </w:p>
        </w:tc>
        <w:tc>
          <w:tcPr>
            <w:tcW w:w="579" w:type="dxa"/>
          </w:tcPr>
          <w:p>
            <w:pPr>
              <w:pStyle w:val="10"/>
              <w:spacing w:before="305"/>
              <w:ind w:left="48" w:right="39"/>
              <w:jc w:val="center"/>
              <w:rPr>
                <w:rFonts w:ascii="微软雅黑"/>
                <w:sz w:val="32"/>
                <w:lang w:eastAsia="en-US"/>
              </w:rPr>
            </w:pPr>
            <w:r>
              <w:rPr>
                <w:rFonts w:ascii="微软雅黑"/>
                <w:sz w:val="32"/>
                <w:lang w:eastAsia="en-US"/>
              </w:rPr>
              <w:t>C-</w:t>
            </w:r>
          </w:p>
        </w:tc>
        <w:tc>
          <w:tcPr>
            <w:tcW w:w="580" w:type="dxa"/>
          </w:tcPr>
          <w:p>
            <w:pPr>
              <w:pStyle w:val="10"/>
              <w:spacing w:before="305"/>
              <w:ind w:left="8"/>
              <w:jc w:val="center"/>
              <w:rPr>
                <w:rFonts w:ascii="微软雅黑"/>
                <w:sz w:val="32"/>
                <w:lang w:eastAsia="en-US"/>
              </w:rPr>
            </w:pPr>
            <w:r>
              <w:rPr>
                <w:rFonts w:ascii="微软雅黑"/>
                <w:w w:val="99"/>
                <w:sz w:val="32"/>
                <w:lang w:eastAsia="en-US"/>
              </w:rPr>
              <w:t>D</w:t>
            </w:r>
          </w:p>
        </w:tc>
        <w:tc>
          <w:tcPr>
            <w:tcW w:w="580" w:type="dxa"/>
          </w:tcPr>
          <w:p>
            <w:pPr>
              <w:pStyle w:val="10"/>
              <w:spacing w:before="305"/>
              <w:ind w:left="42" w:right="34"/>
              <w:jc w:val="center"/>
              <w:rPr>
                <w:rFonts w:ascii="微软雅黑"/>
                <w:sz w:val="32"/>
                <w:lang w:eastAsia="en-US"/>
              </w:rPr>
            </w:pPr>
            <w:r>
              <w:rPr>
                <w:rFonts w:ascii="微软雅黑"/>
                <w:sz w:val="32"/>
                <w:lang w:eastAsia="en-US"/>
              </w:rPr>
              <w:t>D-</w:t>
            </w:r>
          </w:p>
        </w:tc>
        <w:tc>
          <w:tcPr>
            <w:tcW w:w="460" w:type="dxa"/>
          </w:tcPr>
          <w:p>
            <w:pPr>
              <w:pStyle w:val="10"/>
              <w:spacing w:before="305"/>
              <w:ind w:left="10"/>
              <w:jc w:val="center"/>
              <w:rPr>
                <w:rFonts w:ascii="微软雅黑"/>
                <w:sz w:val="32"/>
                <w:lang w:eastAsia="en-US"/>
              </w:rPr>
            </w:pPr>
            <w:r>
              <w:rPr>
                <w:rFonts w:ascii="微软雅黑"/>
                <w:w w:val="99"/>
                <w:sz w:val="32"/>
                <w:lang w:eastAsia="en-US"/>
              </w:rPr>
              <w:t>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9" w:hRule="atLeast"/>
        </w:trPr>
        <w:tc>
          <w:tcPr>
            <w:tcW w:w="932" w:type="dxa"/>
          </w:tcPr>
          <w:p>
            <w:pPr>
              <w:pStyle w:val="10"/>
              <w:spacing w:line="560" w:lineRule="exact"/>
              <w:ind w:left="304" w:right="135" w:hanging="159"/>
              <w:rPr>
                <w:sz w:val="32"/>
                <w:lang w:eastAsia="en-US"/>
              </w:rPr>
            </w:pPr>
            <w:r>
              <w:rPr>
                <w:sz w:val="32"/>
                <w:lang w:eastAsia="en-US"/>
              </w:rPr>
              <w:t>百分制</w:t>
            </w:r>
          </w:p>
        </w:tc>
        <w:tc>
          <w:tcPr>
            <w:tcW w:w="475" w:type="dxa"/>
          </w:tcPr>
          <w:p>
            <w:pPr>
              <w:pStyle w:val="10"/>
              <w:spacing w:before="304"/>
              <w:ind w:left="49"/>
              <w:rPr>
                <w:rFonts w:ascii="微软雅黑"/>
                <w:sz w:val="32"/>
                <w:lang w:eastAsia="en-US"/>
              </w:rPr>
            </w:pPr>
            <w:r>
              <w:rPr>
                <w:rFonts w:ascii="微软雅黑"/>
                <w:sz w:val="32"/>
                <w:lang w:eastAsia="en-US"/>
              </w:rPr>
              <w:t>98</w:t>
            </w:r>
          </w:p>
        </w:tc>
        <w:tc>
          <w:tcPr>
            <w:tcW w:w="580" w:type="dxa"/>
          </w:tcPr>
          <w:p>
            <w:pPr>
              <w:pStyle w:val="10"/>
              <w:spacing w:before="304"/>
              <w:ind w:left="42" w:right="33"/>
              <w:jc w:val="center"/>
              <w:rPr>
                <w:rFonts w:ascii="微软雅黑"/>
                <w:sz w:val="32"/>
                <w:lang w:eastAsia="en-US"/>
              </w:rPr>
            </w:pPr>
            <w:r>
              <w:rPr>
                <w:rFonts w:ascii="微软雅黑"/>
                <w:sz w:val="32"/>
                <w:lang w:eastAsia="en-US"/>
              </w:rPr>
              <w:t>93</w:t>
            </w:r>
          </w:p>
        </w:tc>
        <w:tc>
          <w:tcPr>
            <w:tcW w:w="580" w:type="dxa"/>
          </w:tcPr>
          <w:p>
            <w:pPr>
              <w:pStyle w:val="10"/>
              <w:spacing w:before="304"/>
              <w:ind w:left="42" w:right="31"/>
              <w:jc w:val="center"/>
              <w:rPr>
                <w:rFonts w:ascii="微软雅黑"/>
                <w:sz w:val="32"/>
                <w:lang w:eastAsia="en-US"/>
              </w:rPr>
            </w:pPr>
            <w:r>
              <w:rPr>
                <w:rFonts w:ascii="微软雅黑"/>
                <w:sz w:val="32"/>
                <w:lang w:eastAsia="en-US"/>
              </w:rPr>
              <w:t>87</w:t>
            </w:r>
          </w:p>
        </w:tc>
        <w:tc>
          <w:tcPr>
            <w:tcW w:w="579" w:type="dxa"/>
          </w:tcPr>
          <w:p>
            <w:pPr>
              <w:pStyle w:val="10"/>
              <w:spacing w:before="304"/>
              <w:ind w:left="48" w:right="40"/>
              <w:jc w:val="center"/>
              <w:rPr>
                <w:rFonts w:ascii="微软雅黑"/>
                <w:sz w:val="32"/>
                <w:lang w:eastAsia="en-US"/>
              </w:rPr>
            </w:pPr>
            <w:r>
              <w:rPr>
                <w:rFonts w:ascii="微软雅黑"/>
                <w:sz w:val="32"/>
                <w:lang w:eastAsia="en-US"/>
              </w:rPr>
              <w:t>83</w:t>
            </w:r>
          </w:p>
        </w:tc>
        <w:tc>
          <w:tcPr>
            <w:tcW w:w="580" w:type="dxa"/>
          </w:tcPr>
          <w:p>
            <w:pPr>
              <w:pStyle w:val="10"/>
              <w:spacing w:before="304"/>
              <w:ind w:left="42" w:right="31"/>
              <w:jc w:val="center"/>
              <w:rPr>
                <w:rFonts w:ascii="微软雅黑"/>
                <w:sz w:val="32"/>
                <w:lang w:eastAsia="en-US"/>
              </w:rPr>
            </w:pPr>
            <w:r>
              <w:rPr>
                <w:rFonts w:ascii="微软雅黑"/>
                <w:sz w:val="32"/>
                <w:lang w:eastAsia="en-US"/>
              </w:rPr>
              <w:t>80</w:t>
            </w:r>
          </w:p>
        </w:tc>
        <w:tc>
          <w:tcPr>
            <w:tcW w:w="580" w:type="dxa"/>
          </w:tcPr>
          <w:p>
            <w:pPr>
              <w:pStyle w:val="10"/>
              <w:spacing w:before="304"/>
              <w:ind w:left="42" w:right="34"/>
              <w:jc w:val="center"/>
              <w:rPr>
                <w:rFonts w:ascii="微软雅黑"/>
                <w:sz w:val="32"/>
                <w:lang w:eastAsia="en-US"/>
              </w:rPr>
            </w:pPr>
            <w:r>
              <w:rPr>
                <w:rFonts w:ascii="微软雅黑"/>
                <w:sz w:val="32"/>
                <w:lang w:eastAsia="en-US"/>
              </w:rPr>
              <w:t>76</w:t>
            </w:r>
          </w:p>
        </w:tc>
        <w:tc>
          <w:tcPr>
            <w:tcW w:w="579" w:type="dxa"/>
          </w:tcPr>
          <w:p>
            <w:pPr>
              <w:pStyle w:val="10"/>
              <w:spacing w:before="304"/>
              <w:ind w:left="48" w:right="38"/>
              <w:jc w:val="center"/>
              <w:rPr>
                <w:rFonts w:ascii="微软雅黑"/>
                <w:sz w:val="32"/>
                <w:lang w:eastAsia="en-US"/>
              </w:rPr>
            </w:pPr>
            <w:r>
              <w:rPr>
                <w:rFonts w:ascii="微软雅黑"/>
                <w:sz w:val="32"/>
                <w:lang w:eastAsia="en-US"/>
              </w:rPr>
              <w:t>75</w:t>
            </w:r>
          </w:p>
        </w:tc>
        <w:tc>
          <w:tcPr>
            <w:tcW w:w="580" w:type="dxa"/>
          </w:tcPr>
          <w:p>
            <w:pPr>
              <w:pStyle w:val="10"/>
              <w:spacing w:before="304"/>
              <w:ind w:left="42" w:right="34"/>
              <w:jc w:val="center"/>
              <w:rPr>
                <w:rFonts w:ascii="微软雅黑"/>
                <w:sz w:val="32"/>
                <w:lang w:eastAsia="en-US"/>
              </w:rPr>
            </w:pPr>
            <w:r>
              <w:rPr>
                <w:rFonts w:ascii="微软雅黑"/>
                <w:sz w:val="32"/>
                <w:lang w:eastAsia="en-US"/>
              </w:rPr>
              <w:t>73</w:t>
            </w:r>
          </w:p>
        </w:tc>
        <w:tc>
          <w:tcPr>
            <w:tcW w:w="580" w:type="dxa"/>
          </w:tcPr>
          <w:p>
            <w:pPr>
              <w:pStyle w:val="10"/>
              <w:spacing w:before="304"/>
              <w:ind w:left="42" w:right="32"/>
              <w:jc w:val="center"/>
              <w:rPr>
                <w:rFonts w:ascii="微软雅黑"/>
                <w:sz w:val="32"/>
                <w:lang w:eastAsia="en-US"/>
              </w:rPr>
            </w:pPr>
            <w:r>
              <w:rPr>
                <w:rFonts w:ascii="微软雅黑"/>
                <w:sz w:val="32"/>
                <w:lang w:eastAsia="en-US"/>
              </w:rPr>
              <w:t>68</w:t>
            </w:r>
          </w:p>
        </w:tc>
        <w:tc>
          <w:tcPr>
            <w:tcW w:w="579" w:type="dxa"/>
          </w:tcPr>
          <w:p>
            <w:pPr>
              <w:pStyle w:val="10"/>
              <w:spacing w:before="304"/>
              <w:ind w:left="48" w:right="40"/>
              <w:jc w:val="center"/>
              <w:rPr>
                <w:rFonts w:ascii="微软雅黑"/>
                <w:sz w:val="32"/>
                <w:lang w:eastAsia="en-US"/>
              </w:rPr>
            </w:pPr>
            <w:r>
              <w:rPr>
                <w:rFonts w:ascii="微软雅黑"/>
                <w:sz w:val="32"/>
                <w:lang w:eastAsia="en-US"/>
              </w:rPr>
              <w:t>64</w:t>
            </w:r>
          </w:p>
        </w:tc>
        <w:tc>
          <w:tcPr>
            <w:tcW w:w="580" w:type="dxa"/>
          </w:tcPr>
          <w:p>
            <w:pPr>
              <w:pStyle w:val="10"/>
              <w:spacing w:before="304"/>
              <w:ind w:left="42" w:right="32"/>
              <w:jc w:val="center"/>
              <w:rPr>
                <w:rFonts w:ascii="微软雅黑"/>
                <w:sz w:val="32"/>
                <w:lang w:eastAsia="en-US"/>
              </w:rPr>
            </w:pPr>
            <w:r>
              <w:rPr>
                <w:rFonts w:ascii="微软雅黑"/>
                <w:sz w:val="32"/>
                <w:lang w:eastAsia="en-US"/>
              </w:rPr>
              <w:t>61</w:t>
            </w:r>
          </w:p>
        </w:tc>
        <w:tc>
          <w:tcPr>
            <w:tcW w:w="580" w:type="dxa"/>
          </w:tcPr>
          <w:p>
            <w:pPr>
              <w:pStyle w:val="10"/>
              <w:spacing w:before="304"/>
              <w:ind w:left="42" w:right="35"/>
              <w:jc w:val="center"/>
              <w:rPr>
                <w:rFonts w:ascii="微软雅黑"/>
                <w:sz w:val="32"/>
                <w:lang w:eastAsia="en-US"/>
              </w:rPr>
            </w:pPr>
            <w:r>
              <w:rPr>
                <w:rFonts w:ascii="微软雅黑"/>
                <w:sz w:val="32"/>
                <w:lang w:eastAsia="en-US"/>
              </w:rPr>
              <w:t>60</w:t>
            </w:r>
          </w:p>
        </w:tc>
        <w:tc>
          <w:tcPr>
            <w:tcW w:w="460" w:type="dxa"/>
          </w:tcPr>
          <w:p>
            <w:pPr>
              <w:pStyle w:val="10"/>
              <w:spacing w:before="304"/>
              <w:ind w:left="21" w:right="12"/>
              <w:jc w:val="center"/>
              <w:rPr>
                <w:rFonts w:ascii="微软雅黑"/>
                <w:sz w:val="32"/>
                <w:lang w:eastAsia="en-US"/>
              </w:rPr>
            </w:pPr>
            <w:r>
              <w:rPr>
                <w:rFonts w:ascii="微软雅黑"/>
                <w:sz w:val="32"/>
                <w:lang w:eastAsia="en-US"/>
              </w:rPr>
              <w:t>50</w:t>
            </w:r>
          </w:p>
        </w:tc>
      </w:tr>
    </w:tbl>
    <w:p>
      <w:pPr>
        <w:pStyle w:val="2"/>
        <w:spacing w:before="113"/>
        <w:ind w:left="1327"/>
      </w:pPr>
      <w:r>
        <w:t>详见学校学生成绩评定及管理办法。</w:t>
      </w:r>
    </w:p>
    <w:p>
      <w:pPr>
        <w:pStyle w:val="2"/>
        <w:spacing w:before="18" w:line="540" w:lineRule="exact"/>
        <w:ind w:left="686" w:right="1004" w:firstLine="640"/>
        <w:jc w:val="both"/>
      </w:pPr>
      <w:r>
        <w:rPr>
          <w:rFonts w:hint="eastAsia" w:ascii="微软雅黑" w:eastAsia="微软雅黑"/>
          <w:b/>
          <w:spacing w:val="10"/>
        </w:rPr>
        <w:t xml:space="preserve">第二十二条 </w:t>
      </w:r>
      <w:r>
        <w:rPr>
          <w:spacing w:val="1"/>
        </w:rPr>
        <w:t xml:space="preserve">缺交作业累计超过某门课程作业总数的 </w:t>
      </w:r>
      <w:r>
        <w:t xml:space="preserve">1/3 </w:t>
      </w:r>
      <w:r>
        <w:rPr>
          <w:spacing w:val="-5"/>
        </w:rPr>
        <w:t xml:space="preserve">或者缺课累计超过某门课程学时数 </w:t>
      </w:r>
      <w:r>
        <w:t>1/3</w:t>
      </w:r>
      <w:r>
        <w:rPr>
          <w:spacing w:val="-8"/>
        </w:rPr>
        <w:t xml:space="preserve"> 的学生，任课教师可以</w:t>
      </w:r>
      <w:r>
        <w:t>取消该生该课程考核资格，并不予安排补考。</w:t>
      </w:r>
    </w:p>
    <w:p>
      <w:pPr>
        <w:pStyle w:val="2"/>
        <w:spacing w:line="540" w:lineRule="exact"/>
        <w:ind w:left="686" w:right="1004" w:firstLine="640"/>
        <w:jc w:val="both"/>
      </w:pPr>
      <w:r>
        <w:rPr>
          <w:rFonts w:hint="eastAsia" w:ascii="微软雅黑" w:eastAsia="微软雅黑"/>
          <w:b/>
          <w:spacing w:val="8"/>
        </w:rPr>
        <w:t xml:space="preserve">第二十三条 </w:t>
      </w:r>
      <w:r>
        <w:rPr>
          <w:spacing w:val="-1"/>
        </w:rPr>
        <w:t xml:space="preserve">学生因病或者其他正当理由不能参加考核， </w:t>
      </w:r>
      <w:r>
        <w:rPr>
          <w:spacing w:val="15"/>
          <w:w w:val="95"/>
        </w:rPr>
        <w:t xml:space="preserve">必须在考前持学校医院证明或者相关证明向所在学院申请缓 </w:t>
      </w:r>
      <w:r>
        <w:rPr>
          <w:spacing w:val="-1"/>
        </w:rPr>
        <w:t>考，填写缓考申请表，由学院分管本科教学的院领导审批报教</w:t>
      </w:r>
      <w:r>
        <w:t>务处备案。经批准缓考的学生，按缓考考试成绩记载。</w:t>
      </w:r>
    </w:p>
    <w:p>
      <w:pPr>
        <w:pStyle w:val="2"/>
        <w:tabs>
          <w:tab w:val="left" w:pos="3275"/>
        </w:tabs>
        <w:spacing w:before="9" w:line="261" w:lineRule="auto"/>
        <w:ind w:left="686" w:right="844" w:firstLine="640"/>
      </w:pPr>
      <w:r>
        <w:rPr>
          <w:rFonts w:hint="eastAsia" w:ascii="微软雅黑" w:eastAsia="微软雅黑"/>
          <w:b/>
          <w:spacing w:val="5"/>
        </w:rPr>
        <w:t>第</w:t>
      </w:r>
      <w:r>
        <w:rPr>
          <w:rFonts w:hint="eastAsia" w:ascii="微软雅黑" w:eastAsia="微软雅黑"/>
          <w:b/>
          <w:spacing w:val="7"/>
        </w:rPr>
        <w:t>二</w:t>
      </w:r>
      <w:r>
        <w:rPr>
          <w:rFonts w:hint="eastAsia" w:ascii="微软雅黑" w:eastAsia="微软雅黑"/>
          <w:b/>
          <w:spacing w:val="5"/>
        </w:rPr>
        <w:t>十四</w:t>
      </w:r>
      <w:r>
        <w:rPr>
          <w:rFonts w:hint="eastAsia" w:ascii="微软雅黑" w:eastAsia="微软雅黑"/>
          <w:b/>
        </w:rPr>
        <w:t>条</w:t>
      </w:r>
      <w:r>
        <w:rPr>
          <w:rFonts w:hint="eastAsia" w:ascii="微软雅黑" w:eastAsia="微软雅黑"/>
          <w:b/>
        </w:rPr>
        <w:tab/>
      </w:r>
      <w:r>
        <w:rPr>
          <w:spacing w:val="5"/>
        </w:rPr>
        <w:t>学生</w:t>
      </w:r>
      <w:r>
        <w:t>思</w:t>
      </w:r>
      <w:r>
        <w:rPr>
          <w:spacing w:val="5"/>
        </w:rPr>
        <w:t>想品德</w:t>
      </w:r>
      <w:r>
        <w:t>的</w:t>
      </w:r>
      <w:r>
        <w:rPr>
          <w:spacing w:val="5"/>
        </w:rPr>
        <w:t>考核、鉴</w:t>
      </w:r>
      <w:r>
        <w:t>定</w:t>
      </w:r>
      <w:r>
        <w:rPr>
          <w:spacing w:val="5"/>
        </w:rPr>
        <w:t>，以高等</w:t>
      </w:r>
      <w:r>
        <w:t>学</w:t>
      </w:r>
      <w:r>
        <w:rPr>
          <w:spacing w:val="5"/>
        </w:rPr>
        <w:t>校</w:t>
      </w:r>
      <w:r>
        <w:t>学生行为准则为依据</w:t>
      </w:r>
      <w:r>
        <w:rPr>
          <w:spacing w:val="-34"/>
        </w:rPr>
        <w:t>，</w:t>
      </w:r>
      <w:r>
        <w:t>采取个人小结</w:t>
      </w:r>
      <w:r>
        <w:rPr>
          <w:spacing w:val="-34"/>
        </w:rPr>
        <w:t>，</w:t>
      </w:r>
      <w:r>
        <w:t>师生民主评议等形式进行。</w:t>
      </w:r>
    </w:p>
    <w:p>
      <w:pPr>
        <w:pStyle w:val="2"/>
        <w:spacing w:before="93" w:line="316" w:lineRule="auto"/>
        <w:ind w:left="686" w:right="1004" w:firstLine="640"/>
        <w:jc w:val="both"/>
      </w:pPr>
      <w:r>
        <w:rPr>
          <w:spacing w:val="2"/>
          <w:w w:val="95"/>
        </w:rPr>
        <w:t xml:space="preserve">学生体育课的成绩根据考勤、课内教学、课外锻炼活动和 </w:t>
      </w:r>
      <w:r>
        <w:rPr>
          <w:spacing w:val="-1"/>
        </w:rPr>
        <w:t>体质健康等情况综合评定。因健康原因，不能参加正常体育课的学生，经学校医院证明，可转修保健体育课，保健体育课考</w:t>
      </w:r>
      <w:r>
        <w:t>核及格者，可以取得体育课的成绩和学分。</w:t>
      </w:r>
    </w:p>
    <w:p>
      <w:pPr>
        <w:spacing w:line="316" w:lineRule="auto"/>
        <w:jc w:val="both"/>
        <w:sectPr>
          <w:pgSz w:w="11910" w:h="16840"/>
          <w:pgMar w:top="1420" w:right="580" w:bottom="1100" w:left="900" w:header="0" w:footer="836" w:gutter="0"/>
          <w:cols w:space="720" w:num="1"/>
        </w:sectPr>
      </w:pPr>
    </w:p>
    <w:p>
      <w:pPr>
        <w:tabs>
          <w:tab w:val="left" w:pos="3275"/>
        </w:tabs>
        <w:spacing w:line="523" w:lineRule="exact"/>
        <w:ind w:left="1327"/>
        <w:rPr>
          <w:sz w:val="32"/>
        </w:rPr>
      </w:pPr>
      <w:r>
        <w:rPr>
          <w:rFonts w:hint="eastAsia" w:ascii="微软雅黑" w:eastAsia="微软雅黑"/>
          <w:b/>
          <w:spacing w:val="5"/>
          <w:sz w:val="32"/>
        </w:rPr>
        <w:t>第</w:t>
      </w:r>
      <w:r>
        <w:rPr>
          <w:rFonts w:hint="eastAsia" w:ascii="微软雅黑" w:eastAsia="微软雅黑"/>
          <w:b/>
          <w:spacing w:val="7"/>
          <w:sz w:val="32"/>
        </w:rPr>
        <w:t>二</w:t>
      </w:r>
      <w:r>
        <w:rPr>
          <w:rFonts w:hint="eastAsia" w:ascii="微软雅黑" w:eastAsia="微软雅黑"/>
          <w:b/>
          <w:spacing w:val="5"/>
          <w:sz w:val="32"/>
        </w:rPr>
        <w:t>十五</w:t>
      </w:r>
      <w:r>
        <w:rPr>
          <w:rFonts w:hint="eastAsia" w:ascii="微软雅黑" w:eastAsia="微软雅黑"/>
          <w:b/>
          <w:sz w:val="32"/>
        </w:rPr>
        <w:t>条</w:t>
      </w:r>
      <w:r>
        <w:rPr>
          <w:rFonts w:hint="eastAsia" w:ascii="微软雅黑" w:eastAsia="微软雅黑"/>
          <w:b/>
          <w:sz w:val="32"/>
        </w:rPr>
        <w:tab/>
      </w:r>
      <w:r>
        <w:rPr>
          <w:spacing w:val="5"/>
          <w:sz w:val="32"/>
        </w:rPr>
        <w:t>学生</w:t>
      </w:r>
      <w:r>
        <w:rPr>
          <w:sz w:val="32"/>
        </w:rPr>
        <w:t>可</w:t>
      </w:r>
      <w:r>
        <w:rPr>
          <w:spacing w:val="5"/>
          <w:sz w:val="32"/>
        </w:rPr>
        <w:t>以根据</w:t>
      </w:r>
      <w:r>
        <w:rPr>
          <w:sz w:val="32"/>
        </w:rPr>
        <w:t>学</w:t>
      </w:r>
      <w:r>
        <w:rPr>
          <w:spacing w:val="5"/>
          <w:sz w:val="32"/>
        </w:rPr>
        <w:t>校有关规</w:t>
      </w:r>
      <w:r>
        <w:rPr>
          <w:sz w:val="32"/>
        </w:rPr>
        <w:t>定</w:t>
      </w:r>
      <w:r>
        <w:rPr>
          <w:spacing w:val="5"/>
          <w:sz w:val="32"/>
        </w:rPr>
        <w:t>，申请辅</w:t>
      </w:r>
      <w:r>
        <w:rPr>
          <w:sz w:val="32"/>
        </w:rPr>
        <w:t>修</w:t>
      </w:r>
      <w:r>
        <w:rPr>
          <w:spacing w:val="5"/>
          <w:sz w:val="32"/>
        </w:rPr>
        <w:t>校</w:t>
      </w:r>
      <w:r>
        <w:rPr>
          <w:sz w:val="32"/>
        </w:rPr>
        <w:t>内</w:t>
      </w:r>
    </w:p>
    <w:p>
      <w:pPr>
        <w:pStyle w:val="2"/>
        <w:spacing w:before="52" w:line="316" w:lineRule="auto"/>
        <w:ind w:left="686" w:right="1004"/>
        <w:jc w:val="both"/>
      </w:pPr>
      <w:r>
        <w:rPr>
          <w:spacing w:val="-1"/>
        </w:rPr>
        <w:t>其他专业或者选修其他专业课程；可以申请跨校辅修专业或者修读课程，参加学校认可的开放式网络课程学习。学生修读的</w:t>
      </w:r>
      <w:r>
        <w:rPr>
          <w:w w:val="99"/>
        </w:rPr>
        <w:t>课程成绩</w:t>
      </w:r>
      <w:r>
        <w:rPr>
          <w:spacing w:val="2"/>
          <w:w w:val="99"/>
        </w:rPr>
        <w:t>（</w:t>
      </w:r>
      <w:r>
        <w:rPr>
          <w:spacing w:val="1"/>
          <w:w w:val="99"/>
        </w:rPr>
        <w:t>学分</w:t>
      </w:r>
      <w:r>
        <w:rPr>
          <w:spacing w:val="-161"/>
          <w:w w:val="99"/>
        </w:rPr>
        <w:t>）</w:t>
      </w:r>
      <w:r>
        <w:rPr>
          <w:w w:val="99"/>
        </w:rPr>
        <w:t>，学校审核同意后，予以承认。</w:t>
      </w:r>
    </w:p>
    <w:p>
      <w:pPr>
        <w:pStyle w:val="2"/>
        <w:spacing w:line="316" w:lineRule="auto"/>
        <w:ind w:left="686" w:right="1004" w:firstLine="640"/>
        <w:jc w:val="both"/>
      </w:pPr>
      <w:r>
        <w:rPr>
          <w:spacing w:val="2"/>
          <w:w w:val="95"/>
        </w:rPr>
        <w:t xml:space="preserve">在校期间参加交换学习的学生，可向相关部门和所在学院 </w:t>
      </w:r>
      <w:r>
        <w:rPr>
          <w:spacing w:val="-1"/>
        </w:rPr>
        <w:t>提出申请，将在对方学校获得的学分转换为我校的课程学分。学院依据学分转换申请单登记成绩，并归档申请单和原始成绩</w:t>
      </w:r>
      <w:r>
        <w:t>单复印件。</w:t>
      </w:r>
    </w:p>
    <w:p>
      <w:pPr>
        <w:tabs>
          <w:tab w:val="left" w:pos="3275"/>
        </w:tabs>
        <w:spacing w:line="483" w:lineRule="exact"/>
        <w:ind w:left="1327"/>
        <w:rPr>
          <w:sz w:val="32"/>
        </w:rPr>
      </w:pPr>
      <w:r>
        <w:rPr>
          <w:rFonts w:hint="eastAsia" w:ascii="微软雅黑" w:eastAsia="微软雅黑"/>
          <w:b/>
          <w:spacing w:val="5"/>
          <w:sz w:val="32"/>
        </w:rPr>
        <w:t>第</w:t>
      </w:r>
      <w:r>
        <w:rPr>
          <w:rFonts w:hint="eastAsia" w:ascii="微软雅黑" w:eastAsia="微软雅黑"/>
          <w:b/>
          <w:spacing w:val="7"/>
          <w:sz w:val="32"/>
        </w:rPr>
        <w:t>二</w:t>
      </w:r>
      <w:r>
        <w:rPr>
          <w:rFonts w:hint="eastAsia" w:ascii="微软雅黑" w:eastAsia="微软雅黑"/>
          <w:b/>
          <w:spacing w:val="5"/>
          <w:sz w:val="32"/>
        </w:rPr>
        <w:t>十六</w:t>
      </w:r>
      <w:r>
        <w:rPr>
          <w:rFonts w:hint="eastAsia" w:ascii="微软雅黑" w:eastAsia="微软雅黑"/>
          <w:b/>
          <w:sz w:val="32"/>
        </w:rPr>
        <w:t>条</w:t>
      </w:r>
      <w:r>
        <w:rPr>
          <w:rFonts w:hint="eastAsia" w:ascii="微软雅黑" w:eastAsia="微软雅黑"/>
          <w:b/>
          <w:sz w:val="32"/>
        </w:rPr>
        <w:tab/>
      </w:r>
      <w:r>
        <w:rPr>
          <w:spacing w:val="5"/>
          <w:sz w:val="32"/>
        </w:rPr>
        <w:t>学校</w:t>
      </w:r>
      <w:r>
        <w:rPr>
          <w:sz w:val="32"/>
        </w:rPr>
        <w:t>依</w:t>
      </w:r>
      <w:r>
        <w:rPr>
          <w:spacing w:val="5"/>
          <w:sz w:val="32"/>
        </w:rPr>
        <w:t>据学生</w:t>
      </w:r>
      <w:r>
        <w:rPr>
          <w:sz w:val="32"/>
        </w:rPr>
        <w:t>各</w:t>
      </w:r>
      <w:r>
        <w:rPr>
          <w:spacing w:val="5"/>
          <w:sz w:val="32"/>
        </w:rPr>
        <w:t>课程考核</w:t>
      </w:r>
      <w:r>
        <w:rPr>
          <w:sz w:val="32"/>
        </w:rPr>
        <w:t>情</w:t>
      </w:r>
      <w:r>
        <w:rPr>
          <w:spacing w:val="5"/>
          <w:sz w:val="32"/>
        </w:rPr>
        <w:t>况真实、</w:t>
      </w:r>
      <w:r>
        <w:rPr>
          <w:sz w:val="32"/>
        </w:rPr>
        <w:t>完</w:t>
      </w:r>
      <w:r>
        <w:rPr>
          <w:spacing w:val="5"/>
          <w:sz w:val="32"/>
        </w:rPr>
        <w:t>整</w:t>
      </w:r>
      <w:r>
        <w:rPr>
          <w:sz w:val="32"/>
        </w:rPr>
        <w:t>地</w:t>
      </w:r>
    </w:p>
    <w:p>
      <w:pPr>
        <w:pStyle w:val="2"/>
        <w:spacing w:before="49" w:line="316" w:lineRule="auto"/>
        <w:ind w:left="686" w:right="1004"/>
      </w:pPr>
      <w:r>
        <w:rPr>
          <w:spacing w:val="-1"/>
        </w:rPr>
        <w:t>记载、出具学生学业成绩，对通过补考、重修获得的成绩，记</w:t>
      </w:r>
      <w:r>
        <w:rPr>
          <w:w w:val="99"/>
        </w:rPr>
        <w:t>为“及格</w:t>
      </w:r>
      <w:r>
        <w:rPr>
          <w:spacing w:val="-1"/>
          <w:w w:val="99"/>
        </w:rPr>
        <w:t>*</w:t>
      </w:r>
      <w:r>
        <w:rPr>
          <w:w w:val="99"/>
        </w:rPr>
        <w:t>”或“</w:t>
      </w:r>
      <w:r>
        <w:rPr>
          <w:spacing w:val="1"/>
          <w:w w:val="99"/>
        </w:rPr>
        <w:t>D-</w:t>
      </w:r>
      <w:r>
        <w:rPr>
          <w:spacing w:val="-81"/>
          <w:w w:val="99"/>
        </w:rPr>
        <w:t>”。</w:t>
      </w:r>
    </w:p>
    <w:p>
      <w:pPr>
        <w:pStyle w:val="2"/>
        <w:spacing w:line="316" w:lineRule="auto"/>
        <w:ind w:left="686" w:right="844" w:firstLine="640"/>
      </w:pPr>
      <w:r>
        <w:t xml:space="preserve">学生违反考核纪律或者作弊的，该课程考核成绩记为“0” </w:t>
      </w:r>
      <w:r>
        <w:rPr>
          <w:spacing w:val="3"/>
          <w:w w:val="99"/>
        </w:rPr>
        <w:t>或“</w:t>
      </w:r>
      <w:r>
        <w:rPr>
          <w:spacing w:val="6"/>
          <w:w w:val="99"/>
        </w:rPr>
        <w:t>F</w:t>
      </w:r>
      <w:r>
        <w:rPr>
          <w:spacing w:val="-9"/>
          <w:w w:val="99"/>
        </w:rPr>
        <w:t>”，并视其违纪或者作弊情节，给予相应的纪律处分。给</w:t>
      </w:r>
      <w:r>
        <w:rPr>
          <w:spacing w:val="-10"/>
        </w:rPr>
        <w:t xml:space="preserve">予警告、严重警告、记过及留校察看处分的，经教育表现较好， </w:t>
      </w:r>
      <w:r>
        <w:t>可以对该课程给予重修机会。由他人代替考试、替他人参加考试或者第二次作弊者，给予开除学籍处分。</w:t>
      </w:r>
    </w:p>
    <w:p>
      <w:pPr>
        <w:tabs>
          <w:tab w:val="left" w:pos="3275"/>
        </w:tabs>
        <w:spacing w:line="481" w:lineRule="exact"/>
        <w:ind w:left="1327"/>
        <w:rPr>
          <w:sz w:val="32"/>
        </w:rPr>
      </w:pPr>
      <w:r>
        <w:rPr>
          <w:rFonts w:hint="eastAsia" w:ascii="微软雅黑" w:eastAsia="微软雅黑"/>
          <w:b/>
          <w:spacing w:val="5"/>
          <w:sz w:val="32"/>
        </w:rPr>
        <w:t>第</w:t>
      </w:r>
      <w:r>
        <w:rPr>
          <w:rFonts w:hint="eastAsia" w:ascii="微软雅黑" w:eastAsia="微软雅黑"/>
          <w:b/>
          <w:spacing w:val="7"/>
          <w:sz w:val="32"/>
        </w:rPr>
        <w:t>二</w:t>
      </w:r>
      <w:r>
        <w:rPr>
          <w:rFonts w:hint="eastAsia" w:ascii="微软雅黑" w:eastAsia="微软雅黑"/>
          <w:b/>
          <w:spacing w:val="5"/>
          <w:sz w:val="32"/>
        </w:rPr>
        <w:t>十七</w:t>
      </w:r>
      <w:r>
        <w:rPr>
          <w:rFonts w:hint="eastAsia" w:ascii="微软雅黑" w:eastAsia="微软雅黑"/>
          <w:b/>
          <w:sz w:val="32"/>
        </w:rPr>
        <w:t>条</w:t>
      </w:r>
      <w:r>
        <w:rPr>
          <w:rFonts w:hint="eastAsia" w:ascii="微软雅黑" w:eastAsia="微软雅黑"/>
          <w:b/>
          <w:sz w:val="32"/>
        </w:rPr>
        <w:tab/>
      </w:r>
      <w:r>
        <w:rPr>
          <w:spacing w:val="5"/>
          <w:sz w:val="32"/>
        </w:rPr>
        <w:t>学生</w:t>
      </w:r>
      <w:r>
        <w:rPr>
          <w:sz w:val="32"/>
        </w:rPr>
        <w:t>因</w:t>
      </w:r>
      <w:r>
        <w:rPr>
          <w:spacing w:val="5"/>
          <w:sz w:val="32"/>
        </w:rPr>
        <w:t>退学等</w:t>
      </w:r>
      <w:r>
        <w:rPr>
          <w:sz w:val="32"/>
        </w:rPr>
        <w:t>情</w:t>
      </w:r>
      <w:r>
        <w:rPr>
          <w:spacing w:val="5"/>
          <w:sz w:val="32"/>
        </w:rPr>
        <w:t>况中止学</w:t>
      </w:r>
      <w:r>
        <w:rPr>
          <w:sz w:val="32"/>
        </w:rPr>
        <w:t>业</w:t>
      </w:r>
      <w:r>
        <w:rPr>
          <w:spacing w:val="5"/>
          <w:sz w:val="32"/>
        </w:rPr>
        <w:t>，其在校</w:t>
      </w:r>
      <w:r>
        <w:rPr>
          <w:sz w:val="32"/>
        </w:rPr>
        <w:t>学</w:t>
      </w:r>
      <w:r>
        <w:rPr>
          <w:spacing w:val="5"/>
          <w:sz w:val="32"/>
        </w:rPr>
        <w:t>习</w:t>
      </w:r>
      <w:r>
        <w:rPr>
          <w:sz w:val="32"/>
        </w:rPr>
        <w:t>期</w:t>
      </w:r>
    </w:p>
    <w:p>
      <w:pPr>
        <w:pStyle w:val="2"/>
        <w:spacing w:before="50" w:line="316" w:lineRule="auto"/>
        <w:ind w:left="686" w:right="844"/>
      </w:pPr>
      <w:r>
        <w:rPr>
          <w:spacing w:val="-5"/>
          <w:w w:val="95"/>
        </w:rPr>
        <w:t xml:space="preserve">间所修课程及已获得学分，予以记录。学生重新参加入学考试、 </w:t>
      </w:r>
      <w:r>
        <w:t>符合录取条件，再次入学的，其已获得学分，经学校认定，予以承认。</w:t>
      </w:r>
    </w:p>
    <w:p>
      <w:pPr>
        <w:tabs>
          <w:tab w:val="left" w:pos="3371"/>
        </w:tabs>
        <w:spacing w:line="484" w:lineRule="exact"/>
        <w:ind w:left="1327"/>
        <w:rPr>
          <w:sz w:val="32"/>
        </w:rPr>
      </w:pPr>
      <w:r>
        <w:rPr>
          <w:rFonts w:hint="eastAsia" w:ascii="微软雅黑" w:eastAsia="微软雅黑"/>
          <w:b/>
          <w:spacing w:val="19"/>
          <w:sz w:val="32"/>
        </w:rPr>
        <w:t>第二十八</w:t>
      </w:r>
      <w:r>
        <w:rPr>
          <w:rFonts w:hint="eastAsia" w:ascii="微软雅黑" w:eastAsia="微软雅黑"/>
          <w:b/>
          <w:sz w:val="32"/>
        </w:rPr>
        <w:t>条</w:t>
      </w:r>
      <w:r>
        <w:rPr>
          <w:rFonts w:hint="eastAsia" w:ascii="微软雅黑" w:eastAsia="微软雅黑"/>
          <w:b/>
          <w:sz w:val="32"/>
        </w:rPr>
        <w:tab/>
      </w:r>
      <w:r>
        <w:rPr>
          <w:spacing w:val="16"/>
          <w:sz w:val="32"/>
        </w:rPr>
        <w:t>学</w:t>
      </w:r>
      <w:r>
        <w:rPr>
          <w:spacing w:val="19"/>
          <w:sz w:val="32"/>
        </w:rPr>
        <w:t>生</w:t>
      </w:r>
      <w:r>
        <w:rPr>
          <w:spacing w:val="16"/>
          <w:sz w:val="32"/>
        </w:rPr>
        <w:t>应</w:t>
      </w:r>
      <w:r>
        <w:rPr>
          <w:spacing w:val="19"/>
          <w:sz w:val="32"/>
        </w:rPr>
        <w:t>当</w:t>
      </w:r>
      <w:r>
        <w:rPr>
          <w:spacing w:val="16"/>
          <w:sz w:val="32"/>
        </w:rPr>
        <w:t>按时</w:t>
      </w:r>
      <w:r>
        <w:rPr>
          <w:spacing w:val="19"/>
          <w:sz w:val="32"/>
        </w:rPr>
        <w:t>参</w:t>
      </w:r>
      <w:r>
        <w:rPr>
          <w:spacing w:val="16"/>
          <w:sz w:val="32"/>
        </w:rPr>
        <w:t>加</w:t>
      </w:r>
      <w:r>
        <w:rPr>
          <w:spacing w:val="19"/>
          <w:sz w:val="32"/>
        </w:rPr>
        <w:t>教</w:t>
      </w:r>
      <w:r>
        <w:rPr>
          <w:spacing w:val="16"/>
          <w:sz w:val="32"/>
        </w:rPr>
        <w:t>育教</w:t>
      </w:r>
      <w:r>
        <w:rPr>
          <w:spacing w:val="19"/>
          <w:sz w:val="32"/>
        </w:rPr>
        <w:t>学</w:t>
      </w:r>
      <w:r>
        <w:rPr>
          <w:spacing w:val="16"/>
          <w:sz w:val="32"/>
        </w:rPr>
        <w:t>计</w:t>
      </w:r>
      <w:r>
        <w:rPr>
          <w:spacing w:val="19"/>
          <w:sz w:val="32"/>
        </w:rPr>
        <w:t>划</w:t>
      </w:r>
      <w:r>
        <w:rPr>
          <w:spacing w:val="16"/>
          <w:sz w:val="32"/>
        </w:rPr>
        <w:t>规定</w:t>
      </w:r>
      <w:r>
        <w:rPr>
          <w:spacing w:val="19"/>
          <w:sz w:val="32"/>
        </w:rPr>
        <w:t>的</w:t>
      </w:r>
      <w:r>
        <w:rPr>
          <w:sz w:val="32"/>
        </w:rPr>
        <w:t>活</w:t>
      </w:r>
    </w:p>
    <w:p>
      <w:pPr>
        <w:pStyle w:val="2"/>
        <w:spacing w:before="53" w:line="316" w:lineRule="auto"/>
        <w:ind w:left="686" w:right="1004"/>
      </w:pPr>
      <w:r>
        <w:t>动。不能按时参加的，应当事先请假并获得相应批准，并主动向相应的任课教师作出说明。</w:t>
      </w:r>
    </w:p>
    <w:p>
      <w:pPr>
        <w:pStyle w:val="2"/>
        <w:spacing w:line="316" w:lineRule="auto"/>
        <w:ind w:left="686" w:right="1004" w:firstLine="640"/>
      </w:pPr>
      <w:r>
        <w:rPr>
          <w:spacing w:val="2"/>
          <w:w w:val="95"/>
        </w:rPr>
        <w:t xml:space="preserve">学生请事假，应持有关证明并陈述原因；学生请病假须有 </w:t>
      </w:r>
      <w:r>
        <w:t>校医院证明。请假批准权限为：</w:t>
      </w:r>
    </w:p>
    <w:p>
      <w:pPr>
        <w:spacing w:line="316" w:lineRule="auto"/>
        <w:sectPr>
          <w:pgSz w:w="11910" w:h="16840"/>
          <w:pgMar w:top="1500" w:right="580" w:bottom="1100" w:left="900" w:header="0" w:footer="836" w:gutter="0"/>
          <w:cols w:space="720" w:num="1"/>
        </w:sectPr>
      </w:pPr>
    </w:p>
    <w:p>
      <w:pPr>
        <w:pStyle w:val="2"/>
        <w:spacing w:before="35" w:line="316" w:lineRule="auto"/>
        <w:ind w:left="686" w:right="1004" w:firstLine="640"/>
        <w:jc w:val="both"/>
      </w:pPr>
      <w:r>
        <w:rPr>
          <w:spacing w:val="4"/>
          <w:w w:val="95"/>
        </w:rPr>
        <w:t>三天以内由辅导员</w:t>
      </w:r>
      <w:r>
        <w:rPr>
          <w:spacing w:val="5"/>
          <w:w w:val="95"/>
        </w:rPr>
        <w:t>（或班主任，以下同）</w:t>
      </w:r>
      <w:r>
        <w:rPr>
          <w:w w:val="95"/>
        </w:rPr>
        <w:t xml:space="preserve">批准；三天以上 </w:t>
      </w:r>
      <w:r>
        <w:rPr>
          <w:spacing w:val="-1"/>
        </w:rPr>
        <w:t>由辅导员审核同意，由学院主管学生工作的领导批准。事假不</w:t>
      </w:r>
      <w:r>
        <w:t>得超过两周。</w:t>
      </w:r>
    </w:p>
    <w:p>
      <w:pPr>
        <w:pStyle w:val="2"/>
        <w:spacing w:line="406" w:lineRule="exact"/>
        <w:ind w:left="1327"/>
      </w:pPr>
      <w:r>
        <w:t>学生请假期满后应及时向请假批准人销假。</w:t>
      </w:r>
    </w:p>
    <w:p>
      <w:pPr>
        <w:pStyle w:val="2"/>
        <w:spacing w:before="130" w:line="316" w:lineRule="auto"/>
        <w:ind w:left="686" w:right="1004" w:firstLine="640"/>
        <w:jc w:val="both"/>
      </w:pPr>
      <w:r>
        <w:rPr>
          <w:spacing w:val="2"/>
          <w:w w:val="95"/>
        </w:rPr>
        <w:t xml:space="preserve">在校外进行教学活动期间，学生一般不准请事假，如有特 </w:t>
      </w:r>
      <w:r>
        <w:rPr>
          <w:spacing w:val="-1"/>
        </w:rPr>
        <w:t>殊原因需请假者，三天以内由指导教师批准；超过三天应向所</w:t>
      </w:r>
      <w:r>
        <w:t>在学院报告，经所在学院主管学生工作的领导批准。</w:t>
      </w:r>
    </w:p>
    <w:p>
      <w:pPr>
        <w:pStyle w:val="2"/>
        <w:spacing w:line="316" w:lineRule="auto"/>
        <w:ind w:left="686" w:right="1004" w:firstLine="640"/>
        <w:jc w:val="both"/>
      </w:pPr>
      <w:r>
        <w:rPr>
          <w:spacing w:val="2"/>
          <w:w w:val="95"/>
        </w:rPr>
        <w:t xml:space="preserve">未事先请假或请假但未获得批准而缺席教育教学计划规定 </w:t>
      </w:r>
      <w:r>
        <w:t>活动的，按学校学生纪律处分办法处理。</w:t>
      </w:r>
    </w:p>
    <w:p>
      <w:pPr>
        <w:pStyle w:val="9"/>
        <w:tabs>
          <w:tab w:val="left" w:pos="4893"/>
        </w:tabs>
        <w:spacing w:line="408" w:lineRule="exact"/>
        <w:ind w:left="3609"/>
      </w:pPr>
      <w:r>
        <w:t>第七章</w:t>
      </w:r>
      <w:r>
        <w:tab/>
      </w:r>
      <w:r>
        <w:t>重修与免听</w:t>
      </w:r>
    </w:p>
    <w:p>
      <w:pPr>
        <w:pStyle w:val="2"/>
        <w:spacing w:before="24" w:line="261" w:lineRule="auto"/>
        <w:ind w:left="686" w:right="1005" w:firstLine="640"/>
        <w:jc w:val="both"/>
      </w:pPr>
      <w:r>
        <w:rPr>
          <w:rFonts w:hint="eastAsia" w:ascii="微软雅黑" w:eastAsia="微软雅黑"/>
          <w:b/>
        </w:rPr>
        <w:t xml:space="preserve">第二十九条 </w:t>
      </w:r>
      <w:r>
        <w:t>首次修读的课程考核成绩不合格未能取得该课程学分的学生除以下情况外可以给予一次免费补考机会：</w:t>
      </w:r>
    </w:p>
    <w:p>
      <w:pPr>
        <w:pStyle w:val="2"/>
        <w:spacing w:before="92"/>
        <w:ind w:left="1327"/>
      </w:pPr>
      <w:r>
        <w:t>（一）学制年限内最后一个学期的课程。</w:t>
      </w:r>
    </w:p>
    <w:p>
      <w:pPr>
        <w:pStyle w:val="2"/>
        <w:spacing w:before="130"/>
        <w:ind w:left="1327"/>
      </w:pPr>
      <w:r>
        <w:t>（二）夏季学期安排的课程。</w:t>
      </w:r>
    </w:p>
    <w:p>
      <w:pPr>
        <w:pStyle w:val="2"/>
        <w:spacing w:before="130"/>
        <w:ind w:left="1327"/>
      </w:pPr>
      <w:r>
        <w:t>（三）创业创业类课程。</w:t>
      </w:r>
    </w:p>
    <w:p>
      <w:pPr>
        <w:pStyle w:val="2"/>
        <w:spacing w:before="130"/>
        <w:ind w:left="1327"/>
      </w:pPr>
      <w:r>
        <w:t>（四）没有在学校规定的时间内提出补考申请的Ⅱ类通识</w:t>
      </w:r>
    </w:p>
    <w:p>
      <w:pPr>
        <w:pStyle w:val="2"/>
        <w:spacing w:before="130"/>
        <w:ind w:left="686"/>
      </w:pPr>
      <w:r>
        <w:t>课。</w:t>
      </w:r>
    </w:p>
    <w:p>
      <w:pPr>
        <w:pStyle w:val="2"/>
        <w:spacing w:before="130"/>
        <w:ind w:left="1327"/>
      </w:pPr>
      <w:r>
        <w:t>（五）其他有特殊规定的课程。</w:t>
      </w:r>
    </w:p>
    <w:p>
      <w:pPr>
        <w:pStyle w:val="2"/>
        <w:spacing w:before="130"/>
        <w:ind w:left="1327"/>
      </w:pPr>
      <w:r>
        <w:t>必修课程（Ⅰ类通识课、学科基础课、专业主干课）经考</w:t>
      </w:r>
    </w:p>
    <w:p>
      <w:pPr>
        <w:pStyle w:val="2"/>
        <w:spacing w:before="130" w:line="316" w:lineRule="auto"/>
        <w:ind w:left="686" w:right="1002"/>
        <w:jc w:val="both"/>
      </w:pPr>
      <w:r>
        <w:rPr>
          <w:spacing w:val="-44"/>
          <w:w w:val="95"/>
        </w:rPr>
        <w:t>核</w:t>
      </w:r>
      <w:r>
        <w:rPr>
          <w:w w:val="95"/>
        </w:rPr>
        <w:t>（含补考</w:t>
      </w:r>
      <w:r>
        <w:rPr>
          <w:spacing w:val="-46"/>
          <w:w w:val="95"/>
        </w:rPr>
        <w:t>）</w:t>
      </w:r>
      <w:r>
        <w:rPr>
          <w:spacing w:val="-12"/>
          <w:w w:val="95"/>
        </w:rPr>
        <w:t>仍不合格者，必须按学分缴费重修。选修课程</w:t>
      </w:r>
      <w:r>
        <w:rPr>
          <w:w w:val="95"/>
        </w:rPr>
        <w:t xml:space="preserve">（Ⅱ </w:t>
      </w:r>
      <w:r>
        <w:rPr>
          <w:spacing w:val="1"/>
        </w:rPr>
        <w:t>类通识课、专业选修课、创新创业类课程</w:t>
      </w:r>
      <w:r>
        <w:t>）</w:t>
      </w:r>
      <w:r>
        <w:rPr>
          <w:spacing w:val="5"/>
        </w:rPr>
        <w:t>经考核（</w:t>
      </w:r>
      <w:r>
        <w:rPr>
          <w:spacing w:val="3"/>
        </w:rPr>
        <w:t>含补考</w:t>
      </w:r>
      <w:r>
        <w:rPr>
          <w:spacing w:val="-11"/>
        </w:rPr>
        <w:t xml:space="preserve">） </w:t>
      </w:r>
      <w:r>
        <w:rPr>
          <w:spacing w:val="-1"/>
        </w:rPr>
        <w:t>仍不合格者，可按学分缴费重修，或改修同类其他课程；如已满足学分要求，也可放弃，但已修课程不合格成绩将记入成绩</w:t>
      </w:r>
      <w:r>
        <w:t>单（创新创业类课程除外</w:t>
      </w:r>
      <w:r>
        <w:rPr>
          <w:spacing w:val="-159"/>
        </w:rPr>
        <w:t>）</w:t>
      </w:r>
      <w:r>
        <w:t>。</w:t>
      </w:r>
    </w:p>
    <w:p>
      <w:pPr>
        <w:pStyle w:val="2"/>
        <w:tabs>
          <w:tab w:val="left" w:pos="2951"/>
        </w:tabs>
        <w:spacing w:line="481" w:lineRule="exact"/>
        <w:ind w:left="1327"/>
      </w:pPr>
      <w:r>
        <w:rPr>
          <w:rFonts w:hint="eastAsia" w:ascii="微软雅黑" w:eastAsia="微软雅黑"/>
          <w:b/>
          <w:spacing w:val="5"/>
        </w:rPr>
        <w:t>第</w:t>
      </w:r>
      <w:r>
        <w:rPr>
          <w:rFonts w:hint="eastAsia" w:ascii="微软雅黑" w:eastAsia="微软雅黑"/>
          <w:b/>
          <w:spacing w:val="7"/>
        </w:rPr>
        <w:t>三</w:t>
      </w:r>
      <w:r>
        <w:rPr>
          <w:rFonts w:hint="eastAsia" w:ascii="微软雅黑" w:eastAsia="微软雅黑"/>
          <w:b/>
          <w:spacing w:val="5"/>
        </w:rPr>
        <w:t>十</w:t>
      </w:r>
      <w:r>
        <w:rPr>
          <w:rFonts w:hint="eastAsia" w:ascii="微软雅黑" w:eastAsia="微软雅黑"/>
          <w:b/>
        </w:rPr>
        <w:t>条</w:t>
      </w:r>
      <w:r>
        <w:rPr>
          <w:rFonts w:hint="eastAsia" w:ascii="微软雅黑" w:eastAsia="微软雅黑"/>
          <w:b/>
        </w:rPr>
        <w:tab/>
      </w:r>
      <w:r>
        <w:rPr>
          <w:spacing w:val="5"/>
        </w:rPr>
        <w:t>学习</w:t>
      </w:r>
      <w:r>
        <w:t>成</w:t>
      </w:r>
      <w:r>
        <w:rPr>
          <w:spacing w:val="5"/>
        </w:rPr>
        <w:t>绩优良且</w:t>
      </w:r>
      <w:r>
        <w:t>自</w:t>
      </w:r>
      <w:r>
        <w:rPr>
          <w:spacing w:val="5"/>
        </w:rPr>
        <w:t>学能力强</w:t>
      </w:r>
      <w:r>
        <w:t>的</w:t>
      </w:r>
      <w:r>
        <w:rPr>
          <w:spacing w:val="5"/>
        </w:rPr>
        <w:t>学生因特</w:t>
      </w:r>
      <w:r>
        <w:t>殊</w:t>
      </w:r>
      <w:r>
        <w:rPr>
          <w:spacing w:val="5"/>
        </w:rPr>
        <w:t>原</w:t>
      </w:r>
      <w:r>
        <w:t>因</w:t>
      </w:r>
    </w:p>
    <w:p>
      <w:pPr>
        <w:spacing w:line="481" w:lineRule="exact"/>
        <w:sectPr>
          <w:pgSz w:w="11910" w:h="16840"/>
          <w:pgMar w:top="1500" w:right="580" w:bottom="1100" w:left="900" w:header="0" w:footer="836" w:gutter="0"/>
          <w:cols w:space="720" w:num="1"/>
        </w:sectPr>
      </w:pPr>
    </w:p>
    <w:p>
      <w:pPr>
        <w:pStyle w:val="2"/>
        <w:spacing w:before="35" w:line="316" w:lineRule="auto"/>
        <w:ind w:left="686" w:right="1004"/>
        <w:jc w:val="both"/>
      </w:pPr>
      <w:r>
        <w:rPr>
          <w:spacing w:val="-1"/>
        </w:rPr>
        <w:t>不能按要求参加某些课程课堂学习时，可申请免听相关课程的全部或者部分。免听课程门数一般不超过当学期所选修课程总</w:t>
      </w:r>
      <w:r>
        <w:t>门数的</w:t>
      </w:r>
      <w:r>
        <w:rPr>
          <w:spacing w:val="-81"/>
        </w:rPr>
        <w:t xml:space="preserve"> </w:t>
      </w:r>
      <w:r>
        <w:rPr>
          <w:spacing w:val="5"/>
        </w:rPr>
        <w:t>30</w:t>
      </w:r>
      <w:r>
        <w:rPr>
          <w:spacing w:val="9"/>
          <w:w w:val="99"/>
          <w:lang w:val="en-US" w:bidi="ar-SA"/>
        </w:rPr>
        <w:drawing>
          <wp:inline distT="0" distB="0" distL="0" distR="0">
            <wp:extent cx="85090" cy="154940"/>
            <wp:effectExtent l="0" t="0" r="10160" b="16510"/>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t>。免听课程一律不免考。</w:t>
      </w:r>
    </w:p>
    <w:p>
      <w:pPr>
        <w:tabs>
          <w:tab w:val="left" w:pos="3275"/>
        </w:tabs>
        <w:spacing w:line="484" w:lineRule="exact"/>
        <w:ind w:left="1327"/>
        <w:rPr>
          <w:sz w:val="32"/>
        </w:rPr>
      </w:pPr>
      <w:r>
        <w:rPr>
          <w:rFonts w:hint="eastAsia" w:ascii="微软雅黑" w:eastAsia="微软雅黑"/>
          <w:b/>
          <w:spacing w:val="5"/>
          <w:sz w:val="32"/>
        </w:rPr>
        <w:t>第</w:t>
      </w:r>
      <w:r>
        <w:rPr>
          <w:rFonts w:hint="eastAsia" w:ascii="微软雅黑" w:eastAsia="微软雅黑"/>
          <w:b/>
          <w:spacing w:val="7"/>
          <w:sz w:val="32"/>
        </w:rPr>
        <w:t>三</w:t>
      </w:r>
      <w:r>
        <w:rPr>
          <w:rFonts w:hint="eastAsia" w:ascii="微软雅黑" w:eastAsia="微软雅黑"/>
          <w:b/>
          <w:spacing w:val="5"/>
          <w:sz w:val="32"/>
        </w:rPr>
        <w:t>十一</w:t>
      </w:r>
      <w:r>
        <w:rPr>
          <w:rFonts w:hint="eastAsia" w:ascii="微软雅黑" w:eastAsia="微软雅黑"/>
          <w:b/>
          <w:sz w:val="32"/>
        </w:rPr>
        <w:t>条</w:t>
      </w:r>
      <w:r>
        <w:rPr>
          <w:rFonts w:hint="eastAsia" w:ascii="微软雅黑" w:eastAsia="微软雅黑"/>
          <w:b/>
          <w:sz w:val="32"/>
        </w:rPr>
        <w:tab/>
      </w:r>
      <w:r>
        <w:rPr>
          <w:spacing w:val="5"/>
          <w:sz w:val="32"/>
        </w:rPr>
        <w:t>体育</w:t>
      </w:r>
      <w:r>
        <w:rPr>
          <w:sz w:val="32"/>
        </w:rPr>
        <w:t>课</w:t>
      </w:r>
      <w:r>
        <w:rPr>
          <w:spacing w:val="5"/>
          <w:sz w:val="32"/>
        </w:rPr>
        <w:t>、实验</w:t>
      </w:r>
      <w:r>
        <w:rPr>
          <w:sz w:val="32"/>
        </w:rPr>
        <w:t>、</w:t>
      </w:r>
      <w:r>
        <w:rPr>
          <w:spacing w:val="5"/>
          <w:sz w:val="32"/>
        </w:rPr>
        <w:t>实习、课</w:t>
      </w:r>
      <w:r>
        <w:rPr>
          <w:sz w:val="32"/>
        </w:rPr>
        <w:t>程</w:t>
      </w:r>
      <w:r>
        <w:rPr>
          <w:spacing w:val="5"/>
          <w:sz w:val="32"/>
        </w:rPr>
        <w:t>设计、毕</w:t>
      </w:r>
      <w:r>
        <w:rPr>
          <w:sz w:val="32"/>
        </w:rPr>
        <w:t>业</w:t>
      </w:r>
      <w:r>
        <w:rPr>
          <w:spacing w:val="5"/>
          <w:sz w:val="32"/>
        </w:rPr>
        <w:t>设</w:t>
      </w:r>
      <w:r>
        <w:rPr>
          <w:sz w:val="32"/>
        </w:rPr>
        <w:t>计</w:t>
      </w:r>
    </w:p>
    <w:p>
      <w:pPr>
        <w:pStyle w:val="2"/>
        <w:spacing w:before="52" w:line="316" w:lineRule="auto"/>
        <w:ind w:left="686" w:right="1004"/>
        <w:jc w:val="both"/>
      </w:pPr>
      <w:r>
        <w:t>等实践性较强的课程以及思想政治理论课、形势与政策课原则上不得申请免听。免听申请由学院审批，报教务处备案。</w:t>
      </w:r>
    </w:p>
    <w:p>
      <w:pPr>
        <w:pStyle w:val="9"/>
        <w:tabs>
          <w:tab w:val="left" w:pos="4732"/>
        </w:tabs>
        <w:spacing w:line="408" w:lineRule="exact"/>
        <w:ind w:left="3448"/>
      </w:pPr>
      <w:r>
        <w:t>第八章</w:t>
      </w:r>
      <w:r>
        <w:tab/>
      </w:r>
      <w:r>
        <w:t>转专业与转学</w:t>
      </w:r>
    </w:p>
    <w:p>
      <w:pPr>
        <w:pStyle w:val="2"/>
        <w:tabs>
          <w:tab w:val="left" w:pos="3275"/>
        </w:tabs>
        <w:spacing w:before="18" w:line="540" w:lineRule="exact"/>
        <w:ind w:left="686" w:right="844" w:firstLine="640"/>
      </w:pPr>
      <w:r>
        <w:rPr>
          <w:rFonts w:hint="eastAsia" w:ascii="微软雅黑" w:hAnsi="微软雅黑" w:eastAsia="微软雅黑"/>
          <w:b/>
          <w:spacing w:val="5"/>
        </w:rPr>
        <w:t>第</w:t>
      </w:r>
      <w:r>
        <w:rPr>
          <w:rFonts w:hint="eastAsia" w:ascii="微软雅黑" w:hAnsi="微软雅黑" w:eastAsia="微软雅黑"/>
          <w:b/>
          <w:spacing w:val="7"/>
        </w:rPr>
        <w:t>三</w:t>
      </w:r>
      <w:r>
        <w:rPr>
          <w:rFonts w:hint="eastAsia" w:ascii="微软雅黑" w:hAnsi="微软雅黑" w:eastAsia="微软雅黑"/>
          <w:b/>
          <w:spacing w:val="5"/>
        </w:rPr>
        <w:t>十二</w:t>
      </w:r>
      <w:r>
        <w:rPr>
          <w:rFonts w:hint="eastAsia" w:ascii="微软雅黑" w:hAnsi="微软雅黑" w:eastAsia="微软雅黑"/>
          <w:b/>
        </w:rPr>
        <w:t>条</w:t>
      </w:r>
      <w:r>
        <w:rPr>
          <w:rFonts w:hint="eastAsia" w:ascii="微软雅黑" w:hAnsi="微软雅黑" w:eastAsia="微软雅黑"/>
          <w:b/>
        </w:rPr>
        <w:tab/>
      </w:r>
      <w:r>
        <w:rPr>
          <w:spacing w:val="5"/>
        </w:rPr>
        <w:t>学校</w:t>
      </w:r>
      <w:r>
        <w:t>转</w:t>
      </w:r>
      <w:r>
        <w:rPr>
          <w:spacing w:val="5"/>
        </w:rPr>
        <w:t>专业实行“学校</w:t>
      </w:r>
      <w:r>
        <w:t>统</w:t>
      </w:r>
      <w:r>
        <w:rPr>
          <w:spacing w:val="5"/>
        </w:rPr>
        <w:t>筹、学</w:t>
      </w:r>
      <w:r>
        <w:t>院</w:t>
      </w:r>
      <w:r>
        <w:rPr>
          <w:spacing w:val="5"/>
        </w:rPr>
        <w:t>自主、</w:t>
      </w:r>
      <w:r>
        <w:t>学</w:t>
      </w:r>
      <w:r>
        <w:rPr>
          <w:spacing w:val="5"/>
        </w:rPr>
        <w:t>生自</w:t>
      </w:r>
      <w:r>
        <w:t>愿</w:t>
      </w:r>
      <w:r>
        <w:rPr>
          <w:spacing w:val="5"/>
        </w:rPr>
        <w:t>、择优录取</w:t>
      </w:r>
      <w:r>
        <w:t>”</w:t>
      </w:r>
      <w:r>
        <w:rPr>
          <w:spacing w:val="5"/>
        </w:rPr>
        <w:t>的工</w:t>
      </w:r>
      <w:r>
        <w:t>作</w:t>
      </w:r>
      <w:r>
        <w:rPr>
          <w:spacing w:val="5"/>
        </w:rPr>
        <w:t>方式，由</w:t>
      </w:r>
      <w:r>
        <w:t>学</w:t>
      </w:r>
      <w:r>
        <w:rPr>
          <w:spacing w:val="5"/>
        </w:rPr>
        <w:t>校统一安</w:t>
      </w:r>
      <w:r>
        <w:t>排</w:t>
      </w:r>
      <w:r>
        <w:rPr>
          <w:spacing w:val="5"/>
        </w:rPr>
        <w:t>，各学院</w:t>
      </w:r>
      <w:r>
        <w:t>制定具体实施细则</w:t>
      </w:r>
      <w:r>
        <w:rPr>
          <w:spacing w:val="-24"/>
        </w:rPr>
        <w:t>，</w:t>
      </w:r>
      <w:r>
        <w:t>学生自愿申请</w:t>
      </w:r>
      <w:r>
        <w:rPr>
          <w:spacing w:val="-22"/>
        </w:rPr>
        <w:t>。</w:t>
      </w:r>
      <w:r>
        <w:t>转专业工作按照公开</w:t>
      </w:r>
      <w:r>
        <w:rPr>
          <w:spacing w:val="-22"/>
        </w:rPr>
        <w:t>、</w:t>
      </w:r>
      <w:r>
        <w:t>公平、公正的原则进行。</w:t>
      </w:r>
    </w:p>
    <w:p>
      <w:pPr>
        <w:pStyle w:val="2"/>
        <w:spacing w:line="540" w:lineRule="exact"/>
        <w:ind w:left="686" w:right="1002" w:firstLine="640"/>
        <w:jc w:val="both"/>
      </w:pPr>
      <w:r>
        <w:rPr>
          <w:rFonts w:hint="eastAsia" w:ascii="微软雅黑" w:eastAsia="微软雅黑"/>
          <w:b/>
        </w:rPr>
        <w:t xml:space="preserve">第三十三条 </w:t>
      </w:r>
      <w:r>
        <w:t>学生在学习期间可以申请转专业；以特殊招生形式录取的学生，国家有相关规定或者录取前与学校有明确约定的，不得转专业。</w:t>
      </w:r>
    </w:p>
    <w:p>
      <w:pPr>
        <w:tabs>
          <w:tab w:val="left" w:pos="3251"/>
        </w:tabs>
        <w:spacing w:before="10"/>
        <w:ind w:left="1327"/>
        <w:rPr>
          <w:sz w:val="32"/>
        </w:rPr>
      </w:pPr>
      <w:r>
        <w:rPr>
          <w:rFonts w:hint="eastAsia" w:ascii="微软雅黑" w:eastAsia="微软雅黑"/>
          <w:b/>
          <w:sz w:val="32"/>
        </w:rPr>
        <w:t>第三十四条</w:t>
      </w:r>
      <w:r>
        <w:rPr>
          <w:rFonts w:hint="eastAsia" w:ascii="微软雅黑" w:eastAsia="微软雅黑"/>
          <w:b/>
          <w:sz w:val="32"/>
        </w:rPr>
        <w:tab/>
      </w:r>
      <w:r>
        <w:rPr>
          <w:sz w:val="32"/>
        </w:rPr>
        <w:t>学生转专业一般流程。</w:t>
      </w:r>
    </w:p>
    <w:p>
      <w:pPr>
        <w:pStyle w:val="2"/>
        <w:spacing w:before="52"/>
        <w:ind w:left="1327"/>
      </w:pPr>
      <w:r>
        <w:t>（一）学校制定转专业的原则性规定和基本要求；</w:t>
      </w:r>
    </w:p>
    <w:p>
      <w:pPr>
        <w:pStyle w:val="2"/>
        <w:spacing w:before="130" w:line="316" w:lineRule="auto"/>
        <w:ind w:left="686" w:right="1004" w:firstLine="640"/>
      </w:pPr>
      <w:r>
        <w:rPr>
          <w:spacing w:val="5"/>
          <w:w w:val="95"/>
        </w:rPr>
        <w:t>（二）</w:t>
      </w:r>
      <w:r>
        <w:rPr>
          <w:spacing w:val="2"/>
          <w:w w:val="95"/>
        </w:rPr>
        <w:t xml:space="preserve">各学院制定本学院转专业的实施细则，学校审核后 </w:t>
      </w:r>
      <w:r>
        <w:t>统一发布转专业通知；</w:t>
      </w:r>
    </w:p>
    <w:p>
      <w:pPr>
        <w:pStyle w:val="2"/>
        <w:spacing w:line="316" w:lineRule="auto"/>
        <w:ind w:left="686" w:right="1004" w:firstLine="640"/>
      </w:pPr>
      <w:r>
        <w:rPr>
          <w:spacing w:val="5"/>
          <w:w w:val="95"/>
        </w:rPr>
        <w:t>（三）</w:t>
      </w:r>
      <w:r>
        <w:rPr>
          <w:spacing w:val="2"/>
          <w:w w:val="95"/>
        </w:rPr>
        <w:t xml:space="preserve">学生根据各学院的实施细则向所在学院提出书面申 </w:t>
      </w:r>
      <w:r>
        <w:t>请，经所在学院批准后，交至转入学院；</w:t>
      </w:r>
    </w:p>
    <w:p>
      <w:pPr>
        <w:pStyle w:val="2"/>
        <w:spacing w:line="316" w:lineRule="auto"/>
        <w:ind w:left="686" w:right="1004" w:firstLine="640"/>
      </w:pPr>
      <w:r>
        <w:rPr>
          <w:spacing w:val="5"/>
          <w:w w:val="95"/>
        </w:rPr>
        <w:t>（四）</w:t>
      </w:r>
      <w:r>
        <w:rPr>
          <w:spacing w:val="2"/>
          <w:w w:val="95"/>
        </w:rPr>
        <w:t xml:space="preserve">接收学院组织考核，确定拟转专业名单，学校审核 </w:t>
      </w:r>
      <w:r>
        <w:t>后统一公示并确定转专业名单；</w:t>
      </w:r>
    </w:p>
    <w:p>
      <w:pPr>
        <w:pStyle w:val="2"/>
        <w:spacing w:line="316" w:lineRule="auto"/>
        <w:ind w:left="686" w:right="1004" w:firstLine="640"/>
      </w:pPr>
      <w:r>
        <w:rPr>
          <w:spacing w:val="5"/>
          <w:w w:val="95"/>
        </w:rPr>
        <w:t>（五）</w:t>
      </w:r>
      <w:r>
        <w:rPr>
          <w:spacing w:val="2"/>
          <w:w w:val="95"/>
        </w:rPr>
        <w:t xml:space="preserve">学生转专业工作一般在第一学年春季学期开展，确 </w:t>
      </w:r>
      <w:r>
        <w:t>定为转专业的学生在第二学年开学初正式转入新专业。</w:t>
      </w:r>
    </w:p>
    <w:p>
      <w:pPr>
        <w:tabs>
          <w:tab w:val="left" w:pos="3275"/>
        </w:tabs>
        <w:spacing w:line="485" w:lineRule="exact"/>
        <w:ind w:left="1327"/>
        <w:rPr>
          <w:sz w:val="32"/>
        </w:rPr>
      </w:pPr>
      <w:r>
        <w:rPr>
          <w:rFonts w:hint="eastAsia" w:ascii="微软雅黑" w:eastAsia="微软雅黑"/>
          <w:b/>
          <w:spacing w:val="5"/>
          <w:sz w:val="32"/>
        </w:rPr>
        <w:t>第</w:t>
      </w:r>
      <w:r>
        <w:rPr>
          <w:rFonts w:hint="eastAsia" w:ascii="微软雅黑" w:eastAsia="微软雅黑"/>
          <w:b/>
          <w:spacing w:val="7"/>
          <w:sz w:val="32"/>
        </w:rPr>
        <w:t>三</w:t>
      </w:r>
      <w:r>
        <w:rPr>
          <w:rFonts w:hint="eastAsia" w:ascii="微软雅黑" w:eastAsia="微软雅黑"/>
          <w:b/>
          <w:spacing w:val="5"/>
          <w:sz w:val="32"/>
        </w:rPr>
        <w:t>十五</w:t>
      </w:r>
      <w:r>
        <w:rPr>
          <w:rFonts w:hint="eastAsia" w:ascii="微软雅黑" w:eastAsia="微软雅黑"/>
          <w:b/>
          <w:sz w:val="32"/>
        </w:rPr>
        <w:t>条</w:t>
      </w:r>
      <w:r>
        <w:rPr>
          <w:rFonts w:hint="eastAsia" w:ascii="微软雅黑" w:eastAsia="微软雅黑"/>
          <w:b/>
          <w:sz w:val="32"/>
        </w:rPr>
        <w:tab/>
      </w:r>
      <w:r>
        <w:rPr>
          <w:spacing w:val="5"/>
          <w:sz w:val="32"/>
        </w:rPr>
        <w:t>学生</w:t>
      </w:r>
      <w:r>
        <w:rPr>
          <w:sz w:val="32"/>
        </w:rPr>
        <w:t>有</w:t>
      </w:r>
      <w:r>
        <w:rPr>
          <w:spacing w:val="5"/>
          <w:sz w:val="32"/>
        </w:rPr>
        <w:t>下列情</w:t>
      </w:r>
      <w:r>
        <w:rPr>
          <w:sz w:val="32"/>
        </w:rPr>
        <w:t>况</w:t>
      </w:r>
      <w:r>
        <w:rPr>
          <w:spacing w:val="5"/>
          <w:sz w:val="32"/>
        </w:rPr>
        <w:t>之一，并</w:t>
      </w:r>
      <w:r>
        <w:rPr>
          <w:sz w:val="32"/>
        </w:rPr>
        <w:t>经</w:t>
      </w:r>
      <w:r>
        <w:rPr>
          <w:spacing w:val="5"/>
          <w:sz w:val="32"/>
        </w:rPr>
        <w:t>学校批准</w:t>
      </w:r>
      <w:r>
        <w:rPr>
          <w:sz w:val="32"/>
        </w:rPr>
        <w:t>，</w:t>
      </w:r>
      <w:r>
        <w:rPr>
          <w:spacing w:val="5"/>
          <w:sz w:val="32"/>
        </w:rPr>
        <w:t>可</w:t>
      </w:r>
      <w:r>
        <w:rPr>
          <w:sz w:val="32"/>
        </w:rPr>
        <w:t>转</w:t>
      </w:r>
    </w:p>
    <w:p>
      <w:pPr>
        <w:spacing w:line="485" w:lineRule="exact"/>
        <w:rPr>
          <w:sz w:val="32"/>
        </w:rPr>
        <w:sectPr>
          <w:pgSz w:w="11910" w:h="16840"/>
          <w:pgMar w:top="1500" w:right="580" w:bottom="1100" w:left="900" w:header="0" w:footer="836" w:gutter="0"/>
          <w:cols w:space="720" w:num="1"/>
        </w:sectPr>
      </w:pPr>
    </w:p>
    <w:p>
      <w:pPr>
        <w:pStyle w:val="2"/>
        <w:spacing w:before="35"/>
        <w:ind w:left="686"/>
      </w:pPr>
      <w:r>
        <w:t>专业：</w:t>
      </w:r>
    </w:p>
    <w:p>
      <w:pPr>
        <w:pStyle w:val="2"/>
        <w:spacing w:before="130" w:line="316" w:lineRule="auto"/>
        <w:ind w:left="686" w:right="1004" w:firstLine="640"/>
        <w:jc w:val="both"/>
      </w:pPr>
      <w:r>
        <w:rPr>
          <w:spacing w:val="5"/>
          <w:w w:val="95"/>
        </w:rPr>
        <w:t>（一）</w:t>
      </w:r>
      <w:r>
        <w:rPr>
          <w:spacing w:val="2"/>
          <w:w w:val="95"/>
        </w:rPr>
        <w:t xml:space="preserve">学生入学后发现有不能在本专业学习的疾病或者生 </w:t>
      </w:r>
      <w:r>
        <w:rPr>
          <w:spacing w:val="-1"/>
        </w:rPr>
        <w:t>理缺陷，经学校指定的医院诊断证明属实，但尚能在拟转入专</w:t>
      </w:r>
      <w:r>
        <w:t>业学习的；</w:t>
      </w:r>
    </w:p>
    <w:p>
      <w:pPr>
        <w:pStyle w:val="2"/>
        <w:spacing w:line="316" w:lineRule="auto"/>
        <w:ind w:left="686" w:right="1004" w:firstLine="640"/>
      </w:pPr>
      <w:r>
        <w:rPr>
          <w:spacing w:val="5"/>
          <w:w w:val="95"/>
        </w:rPr>
        <w:t>（二）</w:t>
      </w:r>
      <w:r>
        <w:rPr>
          <w:spacing w:val="2"/>
          <w:w w:val="95"/>
        </w:rPr>
        <w:t xml:space="preserve">学生确有特殊困难、特别需要，不转专业无法继续 </w:t>
      </w:r>
      <w:r>
        <w:t>学习的；</w:t>
      </w:r>
    </w:p>
    <w:p>
      <w:pPr>
        <w:pStyle w:val="2"/>
        <w:spacing w:line="316" w:lineRule="auto"/>
        <w:ind w:left="686" w:right="842" w:firstLine="640"/>
      </w:pPr>
      <w:r>
        <w:rPr>
          <w:spacing w:val="5"/>
        </w:rPr>
        <w:t>（三）</w:t>
      </w:r>
      <w:r>
        <w:rPr>
          <w:spacing w:val="2"/>
        </w:rPr>
        <w:t>学生在数学、物理、化学、生物、历史、哲学或语</w:t>
      </w:r>
      <w:r>
        <w:t>言等基础学科方面有兴趣和专长且获得一定成绩的，经转入学院批准，可以申请转入与该生特长相关的专业，具体专业包括</w:t>
      </w:r>
      <w:r>
        <w:rPr>
          <w:spacing w:val="-6"/>
        </w:rPr>
        <w:t>数学与应用数学、物理学、化学、生物科学、生态学、历史学、哲学、汉语言文学、英语等；</w:t>
      </w:r>
    </w:p>
    <w:p>
      <w:pPr>
        <w:pStyle w:val="2"/>
        <w:spacing w:line="316" w:lineRule="auto"/>
        <w:ind w:left="686" w:right="1004" w:firstLine="640"/>
        <w:jc w:val="both"/>
      </w:pPr>
      <w:r>
        <w:rPr>
          <w:spacing w:val="5"/>
          <w:w w:val="95"/>
        </w:rPr>
        <w:t>（四）</w:t>
      </w:r>
      <w:r>
        <w:rPr>
          <w:spacing w:val="2"/>
          <w:w w:val="95"/>
        </w:rPr>
        <w:t xml:space="preserve">实验班学生如不符合继续留在实验班学习的，一般 </w:t>
      </w:r>
      <w:r>
        <w:rPr>
          <w:spacing w:val="-1"/>
        </w:rPr>
        <w:t>转回该生进入实验班前所学的专业，如该生在实验班所学课程与某专业匹配度较高的，可向该专业所在学院提出申请，经转</w:t>
      </w:r>
      <w:r>
        <w:t>入学院考核批准后可以转入；</w:t>
      </w:r>
    </w:p>
    <w:p>
      <w:pPr>
        <w:pStyle w:val="2"/>
        <w:spacing w:line="316" w:lineRule="auto"/>
        <w:ind w:left="686" w:right="1004" w:firstLine="640"/>
      </w:pPr>
      <w:r>
        <w:rPr>
          <w:spacing w:val="5"/>
          <w:w w:val="95"/>
        </w:rPr>
        <w:t>（五）</w:t>
      </w:r>
      <w:r>
        <w:rPr>
          <w:spacing w:val="2"/>
          <w:w w:val="95"/>
        </w:rPr>
        <w:t xml:space="preserve">休学创业或退役后复学的学生，因自身情况需要转 </w:t>
      </w:r>
      <w:r>
        <w:t>专业的；</w:t>
      </w:r>
    </w:p>
    <w:p>
      <w:pPr>
        <w:pStyle w:val="2"/>
        <w:spacing w:line="316" w:lineRule="auto"/>
        <w:ind w:left="686" w:right="1004" w:firstLine="640"/>
      </w:pPr>
      <w:r>
        <w:rPr>
          <w:spacing w:val="5"/>
          <w:w w:val="95"/>
        </w:rPr>
        <w:t>（六）</w:t>
      </w:r>
      <w:r>
        <w:rPr>
          <w:spacing w:val="2"/>
          <w:w w:val="95"/>
        </w:rPr>
        <w:t xml:space="preserve">学校根据社会对人才需求情况的发展变化，经学生 </w:t>
      </w:r>
      <w:r>
        <w:t>同意，必要时可以适当调整学生所学专业。</w:t>
      </w:r>
    </w:p>
    <w:p>
      <w:pPr>
        <w:tabs>
          <w:tab w:val="left" w:pos="3275"/>
        </w:tabs>
        <w:spacing w:line="485" w:lineRule="exact"/>
        <w:ind w:left="1327"/>
        <w:rPr>
          <w:sz w:val="32"/>
        </w:rPr>
      </w:pPr>
      <w:r>
        <w:rPr>
          <w:rFonts w:hint="eastAsia" w:ascii="微软雅黑" w:eastAsia="微软雅黑"/>
          <w:b/>
          <w:spacing w:val="5"/>
          <w:sz w:val="32"/>
        </w:rPr>
        <w:t>第</w:t>
      </w:r>
      <w:r>
        <w:rPr>
          <w:rFonts w:hint="eastAsia" w:ascii="微软雅黑" w:eastAsia="微软雅黑"/>
          <w:b/>
          <w:spacing w:val="7"/>
          <w:sz w:val="32"/>
        </w:rPr>
        <w:t>三</w:t>
      </w:r>
      <w:r>
        <w:rPr>
          <w:rFonts w:hint="eastAsia" w:ascii="微软雅黑" w:eastAsia="微软雅黑"/>
          <w:b/>
          <w:spacing w:val="5"/>
          <w:sz w:val="32"/>
        </w:rPr>
        <w:t>十六</w:t>
      </w:r>
      <w:r>
        <w:rPr>
          <w:rFonts w:hint="eastAsia" w:ascii="微软雅黑" w:eastAsia="微软雅黑"/>
          <w:b/>
          <w:sz w:val="32"/>
        </w:rPr>
        <w:t>条</w:t>
      </w:r>
      <w:r>
        <w:rPr>
          <w:rFonts w:hint="eastAsia" w:ascii="微软雅黑" w:eastAsia="微软雅黑"/>
          <w:b/>
          <w:sz w:val="32"/>
        </w:rPr>
        <w:tab/>
      </w:r>
      <w:r>
        <w:rPr>
          <w:spacing w:val="5"/>
          <w:sz w:val="32"/>
        </w:rPr>
        <w:t>学生</w:t>
      </w:r>
      <w:r>
        <w:rPr>
          <w:sz w:val="32"/>
        </w:rPr>
        <w:t>一</w:t>
      </w:r>
      <w:r>
        <w:rPr>
          <w:spacing w:val="5"/>
          <w:sz w:val="32"/>
        </w:rPr>
        <w:t>般应当</w:t>
      </w:r>
      <w:r>
        <w:rPr>
          <w:sz w:val="32"/>
        </w:rPr>
        <w:t>在</w:t>
      </w:r>
      <w:r>
        <w:rPr>
          <w:spacing w:val="5"/>
          <w:sz w:val="32"/>
        </w:rPr>
        <w:t>被录取学</w:t>
      </w:r>
      <w:r>
        <w:rPr>
          <w:sz w:val="32"/>
        </w:rPr>
        <w:t>校</w:t>
      </w:r>
      <w:r>
        <w:rPr>
          <w:spacing w:val="5"/>
          <w:sz w:val="32"/>
        </w:rPr>
        <w:t>完成学业</w:t>
      </w:r>
      <w:r>
        <w:rPr>
          <w:sz w:val="32"/>
        </w:rPr>
        <w:t>。</w:t>
      </w:r>
      <w:r>
        <w:rPr>
          <w:spacing w:val="5"/>
          <w:sz w:val="32"/>
        </w:rPr>
        <w:t>因</w:t>
      </w:r>
      <w:r>
        <w:rPr>
          <w:sz w:val="32"/>
        </w:rPr>
        <w:t>患</w:t>
      </w:r>
    </w:p>
    <w:p>
      <w:pPr>
        <w:pStyle w:val="2"/>
        <w:spacing w:before="33" w:line="316" w:lineRule="auto"/>
        <w:ind w:left="686" w:right="1004"/>
      </w:pPr>
      <w:r>
        <w:t>病或者有特殊困难、特别需要，无法继续在本校学习或者不适应本校学习要求的，可以申请转学。</w:t>
      </w:r>
    </w:p>
    <w:p>
      <w:pPr>
        <w:tabs>
          <w:tab w:val="left" w:pos="3251"/>
        </w:tabs>
        <w:spacing w:line="485" w:lineRule="exact"/>
        <w:ind w:left="1327"/>
        <w:rPr>
          <w:sz w:val="32"/>
        </w:rPr>
      </w:pPr>
      <w:r>
        <w:rPr>
          <w:rFonts w:hint="eastAsia" w:ascii="微软雅黑" w:eastAsia="微软雅黑"/>
          <w:b/>
          <w:sz w:val="32"/>
        </w:rPr>
        <w:t>第三十七条</w:t>
      </w:r>
      <w:r>
        <w:rPr>
          <w:rFonts w:hint="eastAsia" w:ascii="微软雅黑" w:eastAsia="微软雅黑"/>
          <w:b/>
          <w:sz w:val="32"/>
        </w:rPr>
        <w:tab/>
      </w:r>
      <w:r>
        <w:rPr>
          <w:sz w:val="32"/>
        </w:rPr>
        <w:t>学生有下列情形之一，不得转学：</w:t>
      </w:r>
    </w:p>
    <w:p>
      <w:pPr>
        <w:pStyle w:val="2"/>
        <w:spacing w:before="53"/>
        <w:ind w:left="1327"/>
      </w:pPr>
      <w:r>
        <w:t>（一）入学未满一学期或者毕业前一年的；</w:t>
      </w:r>
    </w:p>
    <w:p>
      <w:pPr>
        <w:pStyle w:val="2"/>
        <w:spacing w:before="130"/>
        <w:ind w:left="1327"/>
      </w:pPr>
      <w:r>
        <w:t>（二）高考成绩低于拟转入学校相关专业同一生源地相应</w:t>
      </w:r>
    </w:p>
    <w:p>
      <w:pPr>
        <w:sectPr>
          <w:pgSz w:w="11910" w:h="16840"/>
          <w:pgMar w:top="1500" w:right="580" w:bottom="1100" w:left="900" w:header="0" w:footer="836" w:gutter="0"/>
          <w:cols w:space="720" w:num="1"/>
        </w:sectPr>
      </w:pPr>
    </w:p>
    <w:p>
      <w:pPr>
        <w:pStyle w:val="2"/>
        <w:spacing w:before="35"/>
        <w:ind w:left="686"/>
      </w:pPr>
      <w:r>
        <w:t>年份录取成绩的；</w:t>
      </w:r>
    </w:p>
    <w:p>
      <w:pPr>
        <w:pStyle w:val="2"/>
        <w:spacing w:before="130"/>
        <w:ind w:left="1327"/>
      </w:pPr>
      <w:r>
        <w:t>（三）由低学历层次转为高学历层次的；</w:t>
      </w:r>
    </w:p>
    <w:p>
      <w:pPr>
        <w:pStyle w:val="2"/>
        <w:spacing w:before="130"/>
        <w:ind w:left="1327"/>
      </w:pPr>
      <w:r>
        <w:t>（四）以定向就业招生录取的；</w:t>
      </w:r>
    </w:p>
    <w:p>
      <w:pPr>
        <w:pStyle w:val="2"/>
        <w:spacing w:before="130"/>
        <w:ind w:left="1327"/>
      </w:pPr>
      <w:r>
        <w:t>（五）无正当转学理由的。</w:t>
      </w:r>
    </w:p>
    <w:p>
      <w:pPr>
        <w:pStyle w:val="2"/>
        <w:spacing w:before="18" w:line="540" w:lineRule="exact"/>
        <w:ind w:left="686" w:right="1004" w:firstLine="640"/>
        <w:jc w:val="both"/>
      </w:pPr>
      <w:r>
        <w:rPr>
          <w:rFonts w:hint="eastAsia" w:ascii="微软雅黑" w:eastAsia="微软雅黑"/>
          <w:b/>
        </w:rPr>
        <w:t xml:space="preserve">第三十八条 </w:t>
      </w:r>
      <w:r>
        <w:t>学生转学由学生本人提出申请，说明理由， 经所在学校和拟转入学校同意，由转入学校负责审核转学条件及相关证明，认为符合本校培养要求且学校有培养能力的，经学校校长办公会决定，可以转入。</w:t>
      </w:r>
    </w:p>
    <w:p>
      <w:pPr>
        <w:pStyle w:val="2"/>
        <w:spacing w:before="112" w:line="316" w:lineRule="auto"/>
        <w:ind w:left="686" w:right="1004" w:firstLine="640"/>
        <w:jc w:val="both"/>
      </w:pPr>
      <w:r>
        <w:rPr>
          <w:spacing w:val="2"/>
          <w:w w:val="95"/>
        </w:rPr>
        <w:t xml:space="preserve">跨省转学的，由转出地省级教育行政部门商转入地省级教 </w:t>
      </w:r>
      <w:r>
        <w:rPr>
          <w:spacing w:val="-1"/>
        </w:rPr>
        <w:t>育行政部门，按转学条件确认后办理转学手续。须转户口的由转入地省级教育行政部门将有关文件抄送转入学校所在地的公</w:t>
      </w:r>
      <w:r>
        <w:t>安机关。</w:t>
      </w:r>
    </w:p>
    <w:p>
      <w:pPr>
        <w:pStyle w:val="9"/>
        <w:tabs>
          <w:tab w:val="left" w:pos="4893"/>
        </w:tabs>
        <w:spacing w:line="405" w:lineRule="exact"/>
        <w:ind w:left="3609"/>
      </w:pPr>
      <w:r>
        <w:t>第九章</w:t>
      </w:r>
      <w:r>
        <w:tab/>
      </w:r>
      <w:r>
        <w:t>休学与复学</w:t>
      </w:r>
    </w:p>
    <w:p>
      <w:pPr>
        <w:pStyle w:val="2"/>
        <w:tabs>
          <w:tab w:val="left" w:pos="3275"/>
        </w:tabs>
        <w:spacing w:before="27" w:line="261" w:lineRule="auto"/>
        <w:ind w:left="686" w:right="1005" w:firstLine="640"/>
      </w:pPr>
      <w:r>
        <w:rPr>
          <w:rFonts w:hint="eastAsia" w:ascii="微软雅黑" w:eastAsia="微软雅黑"/>
          <w:b/>
          <w:spacing w:val="5"/>
        </w:rPr>
        <w:t>第</w:t>
      </w:r>
      <w:r>
        <w:rPr>
          <w:rFonts w:hint="eastAsia" w:ascii="微软雅黑" w:eastAsia="微软雅黑"/>
          <w:b/>
          <w:spacing w:val="7"/>
        </w:rPr>
        <w:t>三</w:t>
      </w:r>
      <w:r>
        <w:rPr>
          <w:rFonts w:hint="eastAsia" w:ascii="微软雅黑" w:eastAsia="微软雅黑"/>
          <w:b/>
          <w:spacing w:val="5"/>
        </w:rPr>
        <w:t>十九</w:t>
      </w:r>
      <w:r>
        <w:rPr>
          <w:rFonts w:hint="eastAsia" w:ascii="微软雅黑" w:eastAsia="微软雅黑"/>
          <w:b/>
        </w:rPr>
        <w:t>条</w:t>
      </w:r>
      <w:r>
        <w:rPr>
          <w:rFonts w:hint="eastAsia" w:ascii="微软雅黑" w:eastAsia="微软雅黑"/>
          <w:b/>
        </w:rPr>
        <w:tab/>
      </w:r>
      <w:r>
        <w:rPr>
          <w:spacing w:val="5"/>
        </w:rPr>
        <w:t>学生</w:t>
      </w:r>
      <w:r>
        <w:t>可</w:t>
      </w:r>
      <w:r>
        <w:rPr>
          <w:spacing w:val="5"/>
        </w:rPr>
        <w:t>以分阶</w:t>
      </w:r>
      <w:r>
        <w:t>段</w:t>
      </w:r>
      <w:r>
        <w:rPr>
          <w:spacing w:val="5"/>
        </w:rPr>
        <w:t>完成学业</w:t>
      </w:r>
      <w:r>
        <w:t>，</w:t>
      </w:r>
      <w:r>
        <w:rPr>
          <w:spacing w:val="5"/>
        </w:rPr>
        <w:t>除另有规</w:t>
      </w:r>
      <w:r>
        <w:t>定</w:t>
      </w:r>
      <w:r>
        <w:rPr>
          <w:spacing w:val="5"/>
        </w:rPr>
        <w:t>外</w:t>
      </w:r>
      <w:r>
        <w:rPr>
          <w:spacing w:val="-14"/>
        </w:rPr>
        <w:t xml:space="preserve">， </w:t>
      </w:r>
      <w:r>
        <w:t>应当在学校规定的最长学习年限内完成学业。</w:t>
      </w:r>
    </w:p>
    <w:p>
      <w:pPr>
        <w:pStyle w:val="2"/>
        <w:spacing w:before="93" w:line="316" w:lineRule="auto"/>
        <w:ind w:left="686" w:right="1004" w:firstLine="640"/>
      </w:pPr>
      <w:r>
        <w:rPr>
          <w:spacing w:val="2"/>
          <w:w w:val="95"/>
        </w:rPr>
        <w:t xml:space="preserve">学生申请休学或者学校认为应当休学的，经学校批准，可 </w:t>
      </w:r>
      <w:r>
        <w:t>以休学。学生休学一般以一年为期，累计不得超过两年。</w:t>
      </w:r>
    </w:p>
    <w:p>
      <w:pPr>
        <w:pStyle w:val="2"/>
        <w:spacing w:line="408" w:lineRule="exact"/>
        <w:ind w:left="1327"/>
      </w:pPr>
      <w:r>
        <w:t>学生有下列情况之一者，应当休学：</w:t>
      </w:r>
    </w:p>
    <w:p>
      <w:pPr>
        <w:pStyle w:val="2"/>
        <w:spacing w:before="130" w:line="316" w:lineRule="auto"/>
        <w:ind w:left="686" w:right="1004" w:firstLine="640"/>
      </w:pPr>
      <w:r>
        <w:rPr>
          <w:spacing w:val="5"/>
          <w:w w:val="95"/>
        </w:rPr>
        <w:t>（一）</w:t>
      </w:r>
      <w:r>
        <w:rPr>
          <w:spacing w:val="2"/>
          <w:w w:val="95"/>
        </w:rPr>
        <w:t xml:space="preserve">经学校医院诊断，因病停课治疗、休养时间占该学 </w:t>
      </w:r>
      <w:r>
        <w:t>期总学时三分之一以上者；</w:t>
      </w:r>
    </w:p>
    <w:p>
      <w:pPr>
        <w:pStyle w:val="2"/>
        <w:spacing w:line="316" w:lineRule="auto"/>
        <w:ind w:left="686" w:right="1004" w:firstLine="640"/>
      </w:pPr>
      <w:r>
        <w:rPr>
          <w:spacing w:val="5"/>
          <w:w w:val="95"/>
        </w:rPr>
        <w:t>（二）</w:t>
      </w:r>
      <w:r>
        <w:rPr>
          <w:spacing w:val="2"/>
          <w:w w:val="95"/>
        </w:rPr>
        <w:t xml:space="preserve">一学期请事假、病假缺课累计超过该学期总学时三 </w:t>
      </w:r>
      <w:r>
        <w:t>分之一以上者；</w:t>
      </w:r>
    </w:p>
    <w:p>
      <w:pPr>
        <w:pStyle w:val="2"/>
        <w:spacing w:line="408" w:lineRule="exact"/>
        <w:ind w:left="1327"/>
      </w:pPr>
      <w:r>
        <w:t>（三）因其他特殊原因必须休学者。</w:t>
      </w:r>
    </w:p>
    <w:p>
      <w:pPr>
        <w:pStyle w:val="2"/>
        <w:spacing w:before="127" w:line="316" w:lineRule="auto"/>
        <w:ind w:left="686" w:right="935" w:firstLine="640"/>
      </w:pPr>
      <w:r>
        <w:rPr>
          <w:spacing w:val="2"/>
        </w:rPr>
        <w:t>因病或者其他原因获准休学者应由学生本人填写休学申请</w:t>
      </w:r>
      <w:r>
        <w:rPr>
          <w:spacing w:val="2"/>
          <w:w w:val="99"/>
        </w:rPr>
        <w:t>表（</w:t>
      </w:r>
      <w:r>
        <w:rPr>
          <w:w w:val="99"/>
        </w:rPr>
        <w:t>附证明材料，因病休学须有校医院的意见</w:t>
      </w:r>
      <w:r>
        <w:rPr>
          <w:spacing w:val="-159"/>
          <w:w w:val="99"/>
        </w:rPr>
        <w:t>）</w:t>
      </w:r>
      <w:r>
        <w:rPr>
          <w:w w:val="99"/>
        </w:rPr>
        <w:t>，经学院批准，</w:t>
      </w:r>
    </w:p>
    <w:p>
      <w:pPr>
        <w:spacing w:line="316" w:lineRule="auto"/>
        <w:sectPr>
          <w:pgSz w:w="11910" w:h="16840"/>
          <w:pgMar w:top="1500" w:right="580" w:bottom="1100" w:left="900" w:header="0" w:footer="836" w:gutter="0"/>
          <w:cols w:space="720" w:num="1"/>
        </w:sectPr>
      </w:pPr>
    </w:p>
    <w:p>
      <w:pPr>
        <w:pStyle w:val="2"/>
        <w:spacing w:before="35" w:line="316" w:lineRule="auto"/>
        <w:ind w:left="686" w:right="1004"/>
        <w:jc w:val="both"/>
      </w:pPr>
      <w:r>
        <w:t>报教务处备案，发给休学证明后方可休学。休学学生必须在接到休学通知之日起两周内办理离校手续，往返路费自理，学校保留其学籍，休学期间不得擅自跟班上课和参加考核。学生休学期间，不享受在校学生待遇。因病休学学生的医疗费按国家及当地的有关规定处理。</w:t>
      </w:r>
    </w:p>
    <w:p>
      <w:pPr>
        <w:pStyle w:val="2"/>
        <w:tabs>
          <w:tab w:val="left" w:pos="2954"/>
        </w:tabs>
        <w:spacing w:line="482" w:lineRule="exact"/>
        <w:ind w:left="1327"/>
      </w:pPr>
      <w:r>
        <w:rPr>
          <w:rFonts w:hint="eastAsia" w:ascii="微软雅黑" w:eastAsia="微软雅黑"/>
          <w:b/>
          <w:spacing w:val="5"/>
        </w:rPr>
        <w:t>第</w:t>
      </w:r>
      <w:r>
        <w:rPr>
          <w:rFonts w:hint="eastAsia" w:ascii="微软雅黑" w:eastAsia="微软雅黑"/>
          <w:b/>
          <w:spacing w:val="7"/>
        </w:rPr>
        <w:t>四</w:t>
      </w:r>
      <w:r>
        <w:rPr>
          <w:rFonts w:hint="eastAsia" w:ascii="微软雅黑" w:eastAsia="微软雅黑"/>
          <w:b/>
          <w:spacing w:val="5"/>
        </w:rPr>
        <w:t>十</w:t>
      </w:r>
      <w:r>
        <w:rPr>
          <w:rFonts w:hint="eastAsia" w:ascii="微软雅黑" w:eastAsia="微软雅黑"/>
          <w:b/>
        </w:rPr>
        <w:t>条</w:t>
      </w:r>
      <w:r>
        <w:rPr>
          <w:rFonts w:hint="eastAsia" w:ascii="微软雅黑" w:eastAsia="微软雅黑"/>
          <w:b/>
        </w:rPr>
        <w:tab/>
      </w:r>
      <w:r>
        <w:rPr>
          <w:spacing w:val="5"/>
        </w:rPr>
        <w:t>对休</w:t>
      </w:r>
      <w:r>
        <w:t>学</w:t>
      </w:r>
      <w:r>
        <w:rPr>
          <w:spacing w:val="5"/>
        </w:rPr>
        <w:t>创业的学</w:t>
      </w:r>
      <w:r>
        <w:t>生</w:t>
      </w:r>
      <w:r>
        <w:rPr>
          <w:spacing w:val="5"/>
        </w:rPr>
        <w:t>，经学校</w:t>
      </w:r>
      <w:r>
        <w:t>创</w:t>
      </w:r>
      <w:r>
        <w:rPr>
          <w:spacing w:val="5"/>
        </w:rPr>
        <w:t>业工作管</w:t>
      </w:r>
      <w:r>
        <w:t>理</w:t>
      </w:r>
      <w:r>
        <w:rPr>
          <w:spacing w:val="5"/>
        </w:rPr>
        <w:t>部</w:t>
      </w:r>
      <w:r>
        <w:t>门</w:t>
      </w:r>
    </w:p>
    <w:p>
      <w:pPr>
        <w:pStyle w:val="2"/>
        <w:spacing w:before="52"/>
        <w:ind w:left="686"/>
      </w:pPr>
      <w:r>
        <w:t>审核批准后，可以单独增加两年休学时间。</w:t>
      </w:r>
    </w:p>
    <w:p>
      <w:pPr>
        <w:tabs>
          <w:tab w:val="left" w:pos="3371"/>
        </w:tabs>
        <w:spacing w:before="28"/>
        <w:ind w:left="1327"/>
        <w:rPr>
          <w:sz w:val="32"/>
        </w:rPr>
      </w:pPr>
      <w:r>
        <w:rPr>
          <w:rFonts w:hint="eastAsia" w:ascii="微软雅黑" w:eastAsia="微软雅黑"/>
          <w:b/>
          <w:spacing w:val="19"/>
          <w:sz w:val="32"/>
        </w:rPr>
        <w:t>第四十一</w:t>
      </w:r>
      <w:r>
        <w:rPr>
          <w:rFonts w:hint="eastAsia" w:ascii="微软雅黑" w:eastAsia="微软雅黑"/>
          <w:b/>
          <w:sz w:val="32"/>
        </w:rPr>
        <w:t>条</w:t>
      </w:r>
      <w:r>
        <w:rPr>
          <w:rFonts w:hint="eastAsia" w:ascii="微软雅黑" w:eastAsia="微软雅黑"/>
          <w:b/>
          <w:sz w:val="32"/>
        </w:rPr>
        <w:tab/>
      </w:r>
      <w:r>
        <w:rPr>
          <w:spacing w:val="16"/>
          <w:sz w:val="32"/>
        </w:rPr>
        <w:t>新</w:t>
      </w:r>
      <w:r>
        <w:rPr>
          <w:spacing w:val="19"/>
          <w:sz w:val="32"/>
        </w:rPr>
        <w:t>生</w:t>
      </w:r>
      <w:r>
        <w:rPr>
          <w:spacing w:val="16"/>
          <w:sz w:val="32"/>
        </w:rPr>
        <w:t>和</w:t>
      </w:r>
      <w:r>
        <w:rPr>
          <w:spacing w:val="19"/>
          <w:sz w:val="32"/>
        </w:rPr>
        <w:t>在</w:t>
      </w:r>
      <w:r>
        <w:rPr>
          <w:spacing w:val="16"/>
          <w:sz w:val="32"/>
        </w:rPr>
        <w:t>校学</w:t>
      </w:r>
      <w:r>
        <w:rPr>
          <w:spacing w:val="19"/>
          <w:sz w:val="32"/>
        </w:rPr>
        <w:t>生</w:t>
      </w:r>
      <w:r>
        <w:rPr>
          <w:spacing w:val="16"/>
          <w:sz w:val="32"/>
        </w:rPr>
        <w:t>应</w:t>
      </w:r>
      <w:r>
        <w:rPr>
          <w:spacing w:val="19"/>
          <w:sz w:val="32"/>
        </w:rPr>
        <w:t>征</w:t>
      </w:r>
      <w:r>
        <w:rPr>
          <w:spacing w:val="16"/>
          <w:sz w:val="32"/>
        </w:rPr>
        <w:t>参加</w:t>
      </w:r>
      <w:r>
        <w:rPr>
          <w:spacing w:val="19"/>
          <w:sz w:val="32"/>
        </w:rPr>
        <w:t>中</w:t>
      </w:r>
      <w:r>
        <w:rPr>
          <w:spacing w:val="16"/>
          <w:sz w:val="32"/>
        </w:rPr>
        <w:t>国</w:t>
      </w:r>
      <w:r>
        <w:rPr>
          <w:spacing w:val="19"/>
          <w:sz w:val="32"/>
        </w:rPr>
        <w:t>人</w:t>
      </w:r>
      <w:r>
        <w:rPr>
          <w:spacing w:val="16"/>
          <w:sz w:val="32"/>
        </w:rPr>
        <w:t>民解</w:t>
      </w:r>
      <w:r>
        <w:rPr>
          <w:spacing w:val="19"/>
          <w:sz w:val="32"/>
        </w:rPr>
        <w:t>放</w:t>
      </w:r>
      <w:r>
        <w:rPr>
          <w:sz w:val="32"/>
        </w:rPr>
        <w:t>军</w:t>
      </w:r>
    </w:p>
    <w:p>
      <w:pPr>
        <w:pStyle w:val="2"/>
        <w:spacing w:before="52" w:line="316" w:lineRule="auto"/>
        <w:ind w:left="686" w:right="1002"/>
        <w:jc w:val="both"/>
      </w:pPr>
      <w:r>
        <w:t>(含中国人民武装警察部队)，学校保留其入学资格或者学籍至退役后 2 年。</w:t>
      </w:r>
    </w:p>
    <w:p>
      <w:pPr>
        <w:pStyle w:val="2"/>
        <w:spacing w:line="316" w:lineRule="auto"/>
        <w:ind w:left="686" w:right="1004" w:firstLine="640"/>
      </w:pPr>
      <w:r>
        <w:rPr>
          <w:spacing w:val="2"/>
          <w:w w:val="95"/>
        </w:rPr>
        <w:t xml:space="preserve">学生参加学校组织的跨校联合培养项目，在联合培养学校 </w:t>
      </w:r>
      <w:r>
        <w:t>学习期间，学校同时为其保留学籍。</w:t>
      </w:r>
    </w:p>
    <w:p>
      <w:pPr>
        <w:pStyle w:val="2"/>
        <w:spacing w:line="316" w:lineRule="auto"/>
        <w:ind w:left="686" w:right="1004" w:firstLine="640"/>
      </w:pPr>
      <w:r>
        <w:rPr>
          <w:spacing w:val="2"/>
          <w:w w:val="95"/>
        </w:rPr>
        <w:t xml:space="preserve">学生保留学籍期间，与其实际所在的部队、学校等组织建 </w:t>
      </w:r>
      <w:r>
        <w:t>立管理关系。</w:t>
      </w:r>
    </w:p>
    <w:p>
      <w:pPr>
        <w:tabs>
          <w:tab w:val="left" w:pos="3251"/>
        </w:tabs>
        <w:spacing w:line="485" w:lineRule="exact"/>
        <w:ind w:left="1327"/>
        <w:rPr>
          <w:sz w:val="32"/>
        </w:rPr>
      </w:pPr>
      <w:r>
        <w:rPr>
          <w:rFonts w:hint="eastAsia" w:ascii="微软雅黑" w:eastAsia="微软雅黑"/>
          <w:b/>
          <w:sz w:val="32"/>
        </w:rPr>
        <w:t>第四十二条</w:t>
      </w:r>
      <w:r>
        <w:rPr>
          <w:rFonts w:hint="eastAsia" w:ascii="微软雅黑" w:eastAsia="微软雅黑"/>
          <w:b/>
          <w:sz w:val="32"/>
        </w:rPr>
        <w:tab/>
      </w:r>
      <w:r>
        <w:rPr>
          <w:w w:val="95"/>
          <w:sz w:val="32"/>
        </w:rPr>
        <w:t>学生休学期满，申请复学按下列规定办理：</w:t>
      </w:r>
    </w:p>
    <w:p>
      <w:pPr>
        <w:pStyle w:val="2"/>
        <w:spacing w:before="48"/>
        <w:ind w:left="1327"/>
      </w:pPr>
      <w:r>
        <w:rPr>
          <w:w w:val="95"/>
        </w:rPr>
        <w:t>（一）应于学期开学一周内持有关证明，提出复学申请；</w:t>
      </w:r>
    </w:p>
    <w:p>
      <w:pPr>
        <w:pStyle w:val="2"/>
        <w:spacing w:before="130" w:line="316" w:lineRule="auto"/>
        <w:ind w:left="686" w:right="1004" w:firstLine="640"/>
        <w:jc w:val="both"/>
      </w:pPr>
      <w:r>
        <w:rPr>
          <w:spacing w:val="5"/>
          <w:w w:val="95"/>
        </w:rPr>
        <w:t>（二）</w:t>
      </w:r>
      <w:r>
        <w:rPr>
          <w:spacing w:val="2"/>
          <w:w w:val="95"/>
        </w:rPr>
        <w:t xml:space="preserve">因伤病休学的学生，申请复学时需经学校医院诊断 </w:t>
      </w:r>
      <w:r>
        <w:rPr>
          <w:spacing w:val="-1"/>
        </w:rPr>
        <w:t>证明已恢复健康，可以正常学习，方可复学。伪造诊断证明或</w:t>
      </w:r>
      <w:r>
        <w:t>者复查不合格者不予复学；</w:t>
      </w:r>
    </w:p>
    <w:p>
      <w:pPr>
        <w:pStyle w:val="2"/>
        <w:spacing w:line="316" w:lineRule="auto"/>
        <w:ind w:left="686" w:right="1004" w:firstLine="640"/>
      </w:pPr>
      <w:r>
        <w:rPr>
          <w:spacing w:val="5"/>
          <w:w w:val="95"/>
        </w:rPr>
        <w:t>（三）</w:t>
      </w:r>
      <w:r>
        <w:rPr>
          <w:spacing w:val="2"/>
          <w:w w:val="95"/>
        </w:rPr>
        <w:t xml:space="preserve">因其他原因休学者，须提供必要的证明，经所在学 </w:t>
      </w:r>
      <w:r>
        <w:t>院审核，报教务处批准，方可办理复学手续；</w:t>
      </w:r>
    </w:p>
    <w:p>
      <w:pPr>
        <w:pStyle w:val="2"/>
        <w:spacing w:line="408" w:lineRule="exact"/>
        <w:ind w:left="1327"/>
      </w:pPr>
      <w:r>
        <w:t>（四）休学期间，如有严重违法乱纪行为者，取消复学资</w:t>
      </w:r>
    </w:p>
    <w:p>
      <w:pPr>
        <w:pStyle w:val="2"/>
        <w:spacing w:before="126"/>
        <w:ind w:left="686"/>
      </w:pPr>
      <w:r>
        <w:t>格；</w:t>
      </w:r>
    </w:p>
    <w:p>
      <w:pPr>
        <w:pStyle w:val="2"/>
        <w:spacing w:before="130"/>
        <w:ind w:left="1327"/>
      </w:pPr>
      <w:r>
        <w:t>（五）复学后，编入原专业的下一年级学习。</w:t>
      </w:r>
    </w:p>
    <w:p>
      <w:pPr>
        <w:pStyle w:val="9"/>
        <w:tabs>
          <w:tab w:val="left" w:pos="1286"/>
        </w:tabs>
        <w:spacing w:before="130"/>
        <w:ind w:left="0" w:right="318"/>
        <w:jc w:val="center"/>
      </w:pPr>
      <w:r>
        <w:t>第十章</w:t>
      </w:r>
      <w:r>
        <w:tab/>
      </w:r>
      <w:r>
        <w:t>退学</w:t>
      </w:r>
    </w:p>
    <w:p>
      <w:pPr>
        <w:jc w:val="center"/>
        <w:sectPr>
          <w:pgSz w:w="11910" w:h="16840"/>
          <w:pgMar w:top="1500" w:right="580" w:bottom="1100" w:left="900" w:header="0" w:footer="836" w:gutter="0"/>
          <w:cols w:space="720" w:num="1"/>
        </w:sectPr>
      </w:pPr>
    </w:p>
    <w:p>
      <w:pPr>
        <w:tabs>
          <w:tab w:val="left" w:pos="3251"/>
        </w:tabs>
        <w:spacing w:line="523" w:lineRule="exact"/>
        <w:ind w:left="1327"/>
        <w:rPr>
          <w:sz w:val="32"/>
        </w:rPr>
      </w:pPr>
      <w:r>
        <w:rPr>
          <w:rFonts w:hint="eastAsia" w:ascii="微软雅黑" w:eastAsia="微软雅黑"/>
          <w:b/>
          <w:sz w:val="32"/>
        </w:rPr>
        <w:t>第四十三条</w:t>
      </w:r>
      <w:r>
        <w:rPr>
          <w:rFonts w:hint="eastAsia" w:ascii="微软雅黑" w:eastAsia="微软雅黑"/>
          <w:b/>
          <w:sz w:val="32"/>
        </w:rPr>
        <w:tab/>
      </w:r>
      <w:r>
        <w:rPr>
          <w:sz w:val="32"/>
        </w:rPr>
        <w:t>学生有下列情形之一，应予以退学：</w:t>
      </w:r>
    </w:p>
    <w:p>
      <w:pPr>
        <w:pStyle w:val="2"/>
        <w:spacing w:before="52" w:line="319" w:lineRule="auto"/>
        <w:ind w:left="686" w:right="1004" w:firstLine="640"/>
      </w:pPr>
      <w:r>
        <w:rPr>
          <w:spacing w:val="5"/>
          <w:w w:val="95"/>
        </w:rPr>
        <w:t>（一）</w:t>
      </w:r>
      <w:r>
        <w:rPr>
          <w:spacing w:val="2"/>
          <w:w w:val="95"/>
        </w:rPr>
        <w:t xml:space="preserve">第三至第五学期的任一学期补考后获得第一课堂学 </w:t>
      </w:r>
      <w:r>
        <w:t>分数少于</w:t>
      </w:r>
      <w:r>
        <w:rPr>
          <w:spacing w:val="-82"/>
        </w:rPr>
        <w:t xml:space="preserve"> </w:t>
      </w:r>
      <w:r>
        <w:t>10</w:t>
      </w:r>
      <w:r>
        <w:rPr>
          <w:spacing w:val="-83"/>
        </w:rPr>
        <w:t xml:space="preserve"> </w:t>
      </w:r>
      <w:r>
        <w:t>个学分且未获得已修课程</w:t>
      </w:r>
      <w:r>
        <w:rPr>
          <w:spacing w:val="-81"/>
        </w:rPr>
        <w:t xml:space="preserve"> </w:t>
      </w:r>
      <w:r>
        <w:rPr>
          <w:spacing w:val="5"/>
        </w:rPr>
        <w:t>60</w:t>
      </w:r>
      <w:r>
        <w:rPr>
          <w:spacing w:val="9"/>
          <w:w w:val="99"/>
          <w:lang w:val="en-US" w:bidi="ar-SA"/>
        </w:rPr>
        <w:drawing>
          <wp:inline distT="0" distB="0" distL="0" distR="0">
            <wp:extent cx="85090" cy="154940"/>
            <wp:effectExtent l="0" t="0" r="10160" b="1651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t>以上学分的；</w:t>
      </w:r>
    </w:p>
    <w:p>
      <w:pPr>
        <w:pStyle w:val="2"/>
        <w:spacing w:line="316" w:lineRule="auto"/>
        <w:ind w:left="686" w:right="1004" w:firstLine="640"/>
      </w:pPr>
      <w:r>
        <w:rPr>
          <w:spacing w:val="5"/>
          <w:w w:val="95"/>
        </w:rPr>
        <w:t>（二）</w:t>
      </w:r>
      <w:r>
        <w:rPr>
          <w:spacing w:val="2"/>
          <w:w w:val="95"/>
        </w:rPr>
        <w:t xml:space="preserve">休学、保留学籍期满，在学校规定期限内未提出复 </w:t>
      </w:r>
      <w:r>
        <w:t>学申请或者申请复学经复查不合格的；</w:t>
      </w:r>
    </w:p>
    <w:p>
      <w:pPr>
        <w:pStyle w:val="2"/>
        <w:spacing w:line="316" w:lineRule="auto"/>
        <w:ind w:left="686" w:right="1004" w:firstLine="640"/>
      </w:pPr>
      <w:r>
        <w:rPr>
          <w:spacing w:val="5"/>
          <w:w w:val="95"/>
        </w:rPr>
        <w:t>（三）</w:t>
      </w:r>
      <w:r>
        <w:rPr>
          <w:spacing w:val="2"/>
          <w:w w:val="95"/>
        </w:rPr>
        <w:t xml:space="preserve">根据学校指定医院诊断，患有疾病或者意外伤残不 </w:t>
      </w:r>
      <w:r>
        <w:t>能继续在校学习的；</w:t>
      </w:r>
    </w:p>
    <w:p>
      <w:pPr>
        <w:pStyle w:val="2"/>
        <w:spacing w:line="408" w:lineRule="exact"/>
        <w:ind w:left="1327"/>
      </w:pPr>
      <w:r>
        <w:t>（四）未经批准连续两周未参加学校规定的教学活动的；</w:t>
      </w:r>
    </w:p>
    <w:p>
      <w:pPr>
        <w:pStyle w:val="2"/>
        <w:spacing w:before="117"/>
        <w:ind w:left="1327"/>
      </w:pPr>
      <w:r>
        <w:t>（五）超过学校规定期限未注册而又未履行暂缓注册手续</w:t>
      </w:r>
    </w:p>
    <w:p>
      <w:pPr>
        <w:pStyle w:val="2"/>
        <w:spacing w:before="130"/>
        <w:ind w:left="686"/>
      </w:pPr>
      <w:r>
        <w:t>的；</w:t>
      </w:r>
    </w:p>
    <w:p>
      <w:pPr>
        <w:pStyle w:val="2"/>
        <w:spacing w:before="130"/>
        <w:ind w:left="1327"/>
      </w:pPr>
      <w:r>
        <w:t>（六）本人申请退学的。</w:t>
      </w:r>
    </w:p>
    <w:p>
      <w:pPr>
        <w:tabs>
          <w:tab w:val="left" w:pos="3275"/>
        </w:tabs>
        <w:spacing w:before="28"/>
        <w:ind w:left="1327"/>
        <w:rPr>
          <w:sz w:val="32"/>
        </w:rPr>
      </w:pPr>
      <w:r>
        <w:rPr>
          <w:rFonts w:hint="eastAsia" w:ascii="微软雅黑" w:eastAsia="微软雅黑"/>
          <w:b/>
          <w:spacing w:val="5"/>
          <w:sz w:val="32"/>
        </w:rPr>
        <w:t>第</w:t>
      </w:r>
      <w:r>
        <w:rPr>
          <w:rFonts w:hint="eastAsia" w:ascii="微软雅黑" w:eastAsia="微软雅黑"/>
          <w:b/>
          <w:spacing w:val="7"/>
          <w:sz w:val="32"/>
        </w:rPr>
        <w:t>四</w:t>
      </w:r>
      <w:r>
        <w:rPr>
          <w:rFonts w:hint="eastAsia" w:ascii="微软雅黑" w:eastAsia="微软雅黑"/>
          <w:b/>
          <w:spacing w:val="5"/>
          <w:sz w:val="32"/>
        </w:rPr>
        <w:t>十四</w:t>
      </w:r>
      <w:r>
        <w:rPr>
          <w:rFonts w:hint="eastAsia" w:ascii="微软雅黑" w:eastAsia="微软雅黑"/>
          <w:b/>
          <w:sz w:val="32"/>
        </w:rPr>
        <w:t>条</w:t>
      </w:r>
      <w:r>
        <w:rPr>
          <w:rFonts w:hint="eastAsia" w:ascii="微软雅黑" w:eastAsia="微软雅黑"/>
          <w:b/>
          <w:sz w:val="32"/>
        </w:rPr>
        <w:tab/>
      </w:r>
      <w:r>
        <w:rPr>
          <w:spacing w:val="5"/>
          <w:sz w:val="32"/>
        </w:rPr>
        <w:t>学生</w:t>
      </w:r>
      <w:r>
        <w:rPr>
          <w:sz w:val="32"/>
        </w:rPr>
        <w:t>退</w:t>
      </w:r>
      <w:r>
        <w:rPr>
          <w:spacing w:val="5"/>
          <w:sz w:val="32"/>
        </w:rPr>
        <w:t>学，由</w:t>
      </w:r>
      <w:r>
        <w:rPr>
          <w:sz w:val="32"/>
        </w:rPr>
        <w:t>学</w:t>
      </w:r>
      <w:r>
        <w:rPr>
          <w:spacing w:val="5"/>
          <w:sz w:val="32"/>
        </w:rPr>
        <w:t>生所在学</w:t>
      </w:r>
      <w:r>
        <w:rPr>
          <w:sz w:val="32"/>
        </w:rPr>
        <w:t>院</w:t>
      </w:r>
      <w:r>
        <w:rPr>
          <w:spacing w:val="5"/>
          <w:sz w:val="32"/>
        </w:rPr>
        <w:t>提出报告</w:t>
      </w:r>
      <w:r>
        <w:rPr>
          <w:sz w:val="32"/>
        </w:rPr>
        <w:t>并</w:t>
      </w:r>
      <w:r>
        <w:rPr>
          <w:spacing w:val="5"/>
          <w:sz w:val="32"/>
        </w:rPr>
        <w:t>附</w:t>
      </w:r>
      <w:r>
        <w:rPr>
          <w:sz w:val="32"/>
        </w:rPr>
        <w:t>有</w:t>
      </w:r>
    </w:p>
    <w:p>
      <w:pPr>
        <w:pStyle w:val="2"/>
        <w:spacing w:before="52"/>
        <w:ind w:left="686"/>
      </w:pPr>
      <w:r>
        <w:t>关材料，学院签署意见，教务处审核，学校审定。</w:t>
      </w:r>
    </w:p>
    <w:p>
      <w:pPr>
        <w:pStyle w:val="2"/>
        <w:spacing w:before="130" w:line="316" w:lineRule="auto"/>
        <w:ind w:left="686" w:right="1004" w:firstLine="640"/>
        <w:jc w:val="both"/>
      </w:pPr>
      <w:r>
        <w:rPr>
          <w:spacing w:val="2"/>
          <w:w w:val="95"/>
        </w:rPr>
        <w:t xml:space="preserve">对退学的学生，由学校出具退学决定书并送达本人，学生 </w:t>
      </w:r>
      <w:r>
        <w:rPr>
          <w:spacing w:val="-1"/>
        </w:rPr>
        <w:t>拒绝签收的，可以以留置方式送达；已离校的，可以采取邮寄方式送达；难于联系的，可以利用学校网站、新闻媒体等以公</w:t>
      </w:r>
      <w:r>
        <w:t>告方式送达。</w:t>
      </w:r>
    </w:p>
    <w:p>
      <w:pPr>
        <w:tabs>
          <w:tab w:val="left" w:pos="3251"/>
        </w:tabs>
        <w:spacing w:line="483" w:lineRule="exact"/>
        <w:ind w:left="1327"/>
        <w:rPr>
          <w:sz w:val="32"/>
        </w:rPr>
      </w:pPr>
      <w:r>
        <w:rPr>
          <w:rFonts w:hint="eastAsia" w:ascii="微软雅黑" w:eastAsia="微软雅黑"/>
          <w:b/>
          <w:sz w:val="32"/>
        </w:rPr>
        <w:t>第四十五条</w:t>
      </w:r>
      <w:r>
        <w:rPr>
          <w:rFonts w:hint="eastAsia" w:ascii="微软雅黑" w:eastAsia="微软雅黑"/>
          <w:b/>
          <w:sz w:val="32"/>
        </w:rPr>
        <w:tab/>
      </w:r>
      <w:r>
        <w:rPr>
          <w:w w:val="95"/>
          <w:sz w:val="32"/>
        </w:rPr>
        <w:t>学生退学后按下列规定处理：</w:t>
      </w:r>
    </w:p>
    <w:p>
      <w:pPr>
        <w:pStyle w:val="2"/>
        <w:spacing w:before="53" w:line="316" w:lineRule="auto"/>
        <w:ind w:left="686" w:right="1004" w:firstLine="640"/>
      </w:pPr>
      <w:r>
        <w:rPr>
          <w:spacing w:val="5"/>
          <w:w w:val="95"/>
        </w:rPr>
        <w:t>（一）</w:t>
      </w:r>
      <w:r>
        <w:rPr>
          <w:spacing w:val="2"/>
          <w:w w:val="95"/>
        </w:rPr>
        <w:t xml:space="preserve">退学的学生，必须在退学决定书送达后两周内办理 </w:t>
      </w:r>
      <w:r>
        <w:t>手续离校，档案、户口退回其家庭户籍所在地；</w:t>
      </w:r>
    </w:p>
    <w:p>
      <w:pPr>
        <w:pStyle w:val="2"/>
        <w:spacing w:line="408" w:lineRule="exact"/>
        <w:ind w:left="1327"/>
      </w:pPr>
      <w:r>
        <w:t>（二）退学的学生，由学校有关部门注销其在校各种关系；</w:t>
      </w:r>
    </w:p>
    <w:p>
      <w:pPr>
        <w:pStyle w:val="2"/>
        <w:spacing w:before="130"/>
        <w:ind w:left="1327"/>
      </w:pPr>
      <w:r>
        <w:t>（三）退学的学生，不得申请复学。</w:t>
      </w:r>
    </w:p>
    <w:p>
      <w:pPr>
        <w:pStyle w:val="2"/>
        <w:tabs>
          <w:tab w:val="left" w:pos="3275"/>
        </w:tabs>
        <w:spacing w:before="28" w:line="261" w:lineRule="auto"/>
        <w:ind w:left="686" w:right="1005" w:firstLine="640"/>
      </w:pPr>
      <w:r>
        <w:rPr>
          <w:rFonts w:hint="eastAsia" w:ascii="微软雅黑" w:eastAsia="微软雅黑"/>
          <w:b/>
          <w:spacing w:val="5"/>
        </w:rPr>
        <w:t>第</w:t>
      </w:r>
      <w:r>
        <w:rPr>
          <w:rFonts w:hint="eastAsia" w:ascii="微软雅黑" w:eastAsia="微软雅黑"/>
          <w:b/>
          <w:spacing w:val="7"/>
        </w:rPr>
        <w:t>四</w:t>
      </w:r>
      <w:r>
        <w:rPr>
          <w:rFonts w:hint="eastAsia" w:ascii="微软雅黑" w:eastAsia="微软雅黑"/>
          <w:b/>
          <w:spacing w:val="5"/>
        </w:rPr>
        <w:t>十六</w:t>
      </w:r>
      <w:r>
        <w:rPr>
          <w:rFonts w:hint="eastAsia" w:ascii="微软雅黑" w:eastAsia="微软雅黑"/>
          <w:b/>
        </w:rPr>
        <w:t>条</w:t>
      </w:r>
      <w:r>
        <w:rPr>
          <w:rFonts w:hint="eastAsia" w:ascii="微软雅黑" w:eastAsia="微软雅黑"/>
          <w:b/>
        </w:rPr>
        <w:tab/>
      </w:r>
      <w:r>
        <w:rPr>
          <w:spacing w:val="5"/>
        </w:rPr>
        <w:t>学生</w:t>
      </w:r>
      <w:r>
        <w:t>对</w:t>
      </w:r>
      <w:r>
        <w:rPr>
          <w:spacing w:val="5"/>
        </w:rPr>
        <w:t>退学处</w:t>
      </w:r>
      <w:r>
        <w:t>理</w:t>
      </w:r>
      <w:r>
        <w:rPr>
          <w:spacing w:val="5"/>
        </w:rPr>
        <w:t>有异议的</w:t>
      </w:r>
      <w:r>
        <w:t>，</w:t>
      </w:r>
      <w:r>
        <w:rPr>
          <w:spacing w:val="5"/>
        </w:rPr>
        <w:t>可以依照</w:t>
      </w:r>
      <w:r>
        <w:t>学</w:t>
      </w:r>
      <w:r>
        <w:rPr>
          <w:spacing w:val="5"/>
        </w:rPr>
        <w:t>校</w:t>
      </w:r>
      <w:r>
        <w:rPr>
          <w:spacing w:val="-14"/>
        </w:rPr>
        <w:t>学</w:t>
      </w:r>
      <w:r>
        <w:t>生申诉处理办法提出申诉。</w:t>
      </w:r>
    </w:p>
    <w:p>
      <w:pPr>
        <w:pStyle w:val="9"/>
        <w:tabs>
          <w:tab w:val="left" w:pos="4571"/>
        </w:tabs>
        <w:spacing w:before="92"/>
        <w:ind w:left="2966"/>
      </w:pPr>
      <w:r>
        <w:t>第十一章</w:t>
      </w:r>
      <w:r>
        <w:tab/>
      </w:r>
      <w:r>
        <w:t>毕业、结业与肄业</w:t>
      </w:r>
    </w:p>
    <w:p>
      <w:pPr>
        <w:sectPr>
          <w:pgSz w:w="11910" w:h="16840"/>
          <w:pgMar w:top="1500" w:right="580" w:bottom="1100" w:left="900" w:header="0" w:footer="836" w:gutter="0"/>
          <w:cols w:space="720" w:num="1"/>
        </w:sectPr>
      </w:pPr>
    </w:p>
    <w:p>
      <w:pPr>
        <w:tabs>
          <w:tab w:val="left" w:pos="3275"/>
        </w:tabs>
        <w:spacing w:line="523" w:lineRule="exact"/>
        <w:ind w:left="1327"/>
        <w:rPr>
          <w:sz w:val="32"/>
        </w:rPr>
      </w:pPr>
      <w:r>
        <w:rPr>
          <w:rFonts w:hint="eastAsia" w:ascii="微软雅黑" w:eastAsia="微软雅黑"/>
          <w:b/>
          <w:spacing w:val="5"/>
          <w:sz w:val="32"/>
        </w:rPr>
        <w:t>第</w:t>
      </w:r>
      <w:r>
        <w:rPr>
          <w:rFonts w:hint="eastAsia" w:ascii="微软雅黑" w:eastAsia="微软雅黑"/>
          <w:b/>
          <w:spacing w:val="7"/>
          <w:sz w:val="32"/>
        </w:rPr>
        <w:t>四</w:t>
      </w:r>
      <w:r>
        <w:rPr>
          <w:rFonts w:hint="eastAsia" w:ascii="微软雅黑" w:eastAsia="微软雅黑"/>
          <w:b/>
          <w:spacing w:val="5"/>
          <w:sz w:val="32"/>
        </w:rPr>
        <w:t>十七</w:t>
      </w:r>
      <w:r>
        <w:rPr>
          <w:rFonts w:hint="eastAsia" w:ascii="微软雅黑" w:eastAsia="微软雅黑"/>
          <w:b/>
          <w:sz w:val="32"/>
        </w:rPr>
        <w:t>条</w:t>
      </w:r>
      <w:r>
        <w:rPr>
          <w:rFonts w:hint="eastAsia" w:ascii="微软雅黑" w:eastAsia="微软雅黑"/>
          <w:b/>
          <w:sz w:val="32"/>
        </w:rPr>
        <w:tab/>
      </w:r>
      <w:r>
        <w:rPr>
          <w:spacing w:val="5"/>
          <w:sz w:val="32"/>
        </w:rPr>
        <w:t>学生</w:t>
      </w:r>
      <w:r>
        <w:rPr>
          <w:sz w:val="32"/>
        </w:rPr>
        <w:t>在</w:t>
      </w:r>
      <w:r>
        <w:rPr>
          <w:spacing w:val="5"/>
          <w:sz w:val="32"/>
        </w:rPr>
        <w:t>学校规</w:t>
      </w:r>
      <w:r>
        <w:rPr>
          <w:sz w:val="32"/>
        </w:rPr>
        <w:t>定</w:t>
      </w:r>
      <w:r>
        <w:rPr>
          <w:spacing w:val="5"/>
          <w:sz w:val="32"/>
        </w:rPr>
        <w:t>的学制年</w:t>
      </w:r>
      <w:r>
        <w:rPr>
          <w:sz w:val="32"/>
        </w:rPr>
        <w:t>限</w:t>
      </w:r>
      <w:r>
        <w:rPr>
          <w:spacing w:val="5"/>
          <w:sz w:val="32"/>
        </w:rPr>
        <w:t>内，修完</w:t>
      </w:r>
      <w:r>
        <w:rPr>
          <w:sz w:val="32"/>
        </w:rPr>
        <w:t>教</w:t>
      </w:r>
      <w:r>
        <w:rPr>
          <w:spacing w:val="5"/>
          <w:sz w:val="32"/>
        </w:rPr>
        <w:t>育</w:t>
      </w:r>
      <w:r>
        <w:rPr>
          <w:sz w:val="32"/>
        </w:rPr>
        <w:t>教</w:t>
      </w:r>
    </w:p>
    <w:p>
      <w:pPr>
        <w:pStyle w:val="2"/>
        <w:spacing w:before="52" w:line="316" w:lineRule="auto"/>
        <w:ind w:left="686" w:right="1004"/>
        <w:jc w:val="both"/>
      </w:pPr>
      <w:r>
        <w:t>学计划规定内容，成绩合格，达到毕业要求者，准予毕业，并发给毕业证书。</w:t>
      </w:r>
    </w:p>
    <w:p>
      <w:pPr>
        <w:tabs>
          <w:tab w:val="left" w:pos="3278"/>
        </w:tabs>
        <w:spacing w:line="485" w:lineRule="exact"/>
        <w:ind w:left="1327"/>
        <w:rPr>
          <w:sz w:val="32"/>
        </w:rPr>
      </w:pPr>
      <w:r>
        <w:rPr>
          <w:rFonts w:hint="eastAsia" w:ascii="微软雅黑" w:eastAsia="微软雅黑"/>
          <w:b/>
          <w:spacing w:val="5"/>
          <w:sz w:val="32"/>
        </w:rPr>
        <w:t>第</w:t>
      </w:r>
      <w:r>
        <w:rPr>
          <w:rFonts w:hint="eastAsia" w:ascii="微软雅黑" w:eastAsia="微软雅黑"/>
          <w:b/>
          <w:spacing w:val="7"/>
          <w:sz w:val="32"/>
        </w:rPr>
        <w:t>四</w:t>
      </w:r>
      <w:r>
        <w:rPr>
          <w:rFonts w:hint="eastAsia" w:ascii="微软雅黑" w:eastAsia="微软雅黑"/>
          <w:b/>
          <w:spacing w:val="5"/>
          <w:sz w:val="32"/>
        </w:rPr>
        <w:t>十八</w:t>
      </w:r>
      <w:r>
        <w:rPr>
          <w:rFonts w:hint="eastAsia" w:ascii="微软雅黑" w:eastAsia="微软雅黑"/>
          <w:b/>
          <w:sz w:val="32"/>
        </w:rPr>
        <w:t>条</w:t>
      </w:r>
      <w:r>
        <w:rPr>
          <w:rFonts w:hint="eastAsia" w:ascii="微软雅黑" w:eastAsia="微软雅黑"/>
          <w:b/>
          <w:sz w:val="32"/>
        </w:rPr>
        <w:tab/>
      </w:r>
      <w:r>
        <w:rPr>
          <w:spacing w:val="5"/>
          <w:sz w:val="32"/>
        </w:rPr>
        <w:t>学生</w:t>
      </w:r>
      <w:r>
        <w:rPr>
          <w:sz w:val="32"/>
        </w:rPr>
        <w:t>在</w:t>
      </w:r>
      <w:r>
        <w:rPr>
          <w:spacing w:val="5"/>
          <w:sz w:val="32"/>
        </w:rPr>
        <w:t>学校规</w:t>
      </w:r>
      <w:r>
        <w:rPr>
          <w:sz w:val="32"/>
        </w:rPr>
        <w:t>定</w:t>
      </w:r>
      <w:r>
        <w:rPr>
          <w:spacing w:val="5"/>
          <w:sz w:val="32"/>
        </w:rPr>
        <w:t>的学制年</w:t>
      </w:r>
      <w:r>
        <w:rPr>
          <w:sz w:val="32"/>
        </w:rPr>
        <w:t>限</w:t>
      </w:r>
      <w:r>
        <w:rPr>
          <w:spacing w:val="5"/>
          <w:sz w:val="32"/>
        </w:rPr>
        <w:t>内，修完</w:t>
      </w:r>
      <w:r>
        <w:rPr>
          <w:sz w:val="32"/>
        </w:rPr>
        <w:t>教</w:t>
      </w:r>
      <w:r>
        <w:rPr>
          <w:spacing w:val="5"/>
          <w:sz w:val="32"/>
        </w:rPr>
        <w:t>育</w:t>
      </w:r>
      <w:r>
        <w:rPr>
          <w:sz w:val="32"/>
        </w:rPr>
        <w:t>教</w:t>
      </w:r>
    </w:p>
    <w:p>
      <w:pPr>
        <w:pStyle w:val="2"/>
        <w:spacing w:before="53" w:line="316" w:lineRule="auto"/>
        <w:ind w:left="686" w:right="1004"/>
        <w:jc w:val="both"/>
      </w:pPr>
      <w:r>
        <w:t>学计划规定内容，但未达到学校毕业要求的，可以在学校规定的最长学习年限内申请延长学习时间，每次申请延长学习时间的时间为一学期，并缴纳专业学费和学分学费；也可以申请结业，学生发给结业证书。</w:t>
      </w:r>
    </w:p>
    <w:p>
      <w:pPr>
        <w:pStyle w:val="2"/>
        <w:spacing w:line="316" w:lineRule="auto"/>
        <w:ind w:left="686" w:right="1004" w:firstLine="640"/>
        <w:jc w:val="both"/>
      </w:pPr>
      <w:r>
        <w:rPr>
          <w:spacing w:val="2"/>
          <w:w w:val="95"/>
        </w:rPr>
        <w:t xml:space="preserve">延长学习时间学生在延长学习时间内可以自主学习或在全 </w:t>
      </w:r>
      <w:r>
        <w:rPr>
          <w:spacing w:val="-1"/>
        </w:rPr>
        <w:t>校已开设课程中参加学习，学校单独组织考试，达到毕业要求</w:t>
      </w:r>
      <w:r>
        <w:t>者，准以毕业，并发给毕业证书。</w:t>
      </w:r>
    </w:p>
    <w:p>
      <w:pPr>
        <w:tabs>
          <w:tab w:val="left" w:pos="3275"/>
        </w:tabs>
        <w:spacing w:line="484" w:lineRule="exact"/>
        <w:ind w:left="1327"/>
        <w:rPr>
          <w:sz w:val="32"/>
        </w:rPr>
      </w:pPr>
      <w:r>
        <w:rPr>
          <w:rFonts w:hint="eastAsia" w:ascii="微软雅黑" w:eastAsia="微软雅黑"/>
          <w:b/>
          <w:spacing w:val="5"/>
          <w:sz w:val="32"/>
        </w:rPr>
        <w:t>第</w:t>
      </w:r>
      <w:r>
        <w:rPr>
          <w:rFonts w:hint="eastAsia" w:ascii="微软雅黑" w:eastAsia="微软雅黑"/>
          <w:b/>
          <w:spacing w:val="7"/>
          <w:sz w:val="32"/>
        </w:rPr>
        <w:t>四</w:t>
      </w:r>
      <w:r>
        <w:rPr>
          <w:rFonts w:hint="eastAsia" w:ascii="微软雅黑" w:eastAsia="微软雅黑"/>
          <w:b/>
          <w:spacing w:val="5"/>
          <w:sz w:val="32"/>
        </w:rPr>
        <w:t>十九</w:t>
      </w:r>
      <w:r>
        <w:rPr>
          <w:rFonts w:hint="eastAsia" w:ascii="微软雅黑" w:eastAsia="微软雅黑"/>
          <w:b/>
          <w:sz w:val="32"/>
        </w:rPr>
        <w:t>条</w:t>
      </w:r>
      <w:r>
        <w:rPr>
          <w:rFonts w:hint="eastAsia" w:ascii="微软雅黑" w:eastAsia="微软雅黑"/>
          <w:b/>
          <w:sz w:val="32"/>
        </w:rPr>
        <w:tab/>
      </w:r>
      <w:r>
        <w:rPr>
          <w:spacing w:val="5"/>
          <w:sz w:val="32"/>
        </w:rPr>
        <w:t>学生</w:t>
      </w:r>
      <w:r>
        <w:rPr>
          <w:sz w:val="32"/>
        </w:rPr>
        <w:t>在</w:t>
      </w:r>
      <w:r>
        <w:rPr>
          <w:spacing w:val="5"/>
          <w:sz w:val="32"/>
        </w:rPr>
        <w:t>学校规</w:t>
      </w:r>
      <w:r>
        <w:rPr>
          <w:sz w:val="32"/>
        </w:rPr>
        <w:t>定</w:t>
      </w:r>
      <w:r>
        <w:rPr>
          <w:spacing w:val="5"/>
          <w:sz w:val="32"/>
        </w:rPr>
        <w:t>的最长学</w:t>
      </w:r>
      <w:r>
        <w:rPr>
          <w:sz w:val="32"/>
        </w:rPr>
        <w:t>习</w:t>
      </w:r>
      <w:r>
        <w:rPr>
          <w:spacing w:val="5"/>
          <w:sz w:val="32"/>
        </w:rPr>
        <w:t>年限内，</w:t>
      </w:r>
      <w:r>
        <w:rPr>
          <w:sz w:val="32"/>
        </w:rPr>
        <w:t>修</w:t>
      </w:r>
      <w:r>
        <w:rPr>
          <w:spacing w:val="5"/>
          <w:sz w:val="32"/>
        </w:rPr>
        <w:t>完</w:t>
      </w:r>
      <w:r>
        <w:rPr>
          <w:sz w:val="32"/>
        </w:rPr>
        <w:t>教</w:t>
      </w:r>
    </w:p>
    <w:p>
      <w:pPr>
        <w:pStyle w:val="2"/>
        <w:spacing w:before="47" w:line="316" w:lineRule="auto"/>
        <w:ind w:left="686" w:right="1004"/>
        <w:jc w:val="both"/>
      </w:pPr>
      <w:r>
        <w:t>育教学计划规定内容，但未达到学校毕业要求的，可以申请办理结业，学校发给结业证书。未申请结业者，学校按结业进行学历注册。</w:t>
      </w:r>
    </w:p>
    <w:p>
      <w:pPr>
        <w:pStyle w:val="2"/>
        <w:spacing w:line="316" w:lineRule="auto"/>
        <w:ind w:left="686" w:right="1004" w:firstLine="640"/>
        <w:jc w:val="both"/>
      </w:pPr>
      <w:r>
        <w:rPr>
          <w:spacing w:val="2"/>
          <w:w w:val="95"/>
        </w:rPr>
        <w:t xml:space="preserve">学生结业后一年内可以按学校规定申请重修、补修有关课 </w:t>
      </w:r>
      <w:r>
        <w:rPr>
          <w:spacing w:val="-1"/>
        </w:rPr>
        <w:t xml:space="preserve">程，并缴纳学分学费，达到毕业要求，可申请换发毕业证书， 但不可申请学位证书；结业后一年内未申请换发毕业证书者， </w:t>
      </w:r>
      <w:r>
        <w:t>学校不再受理。</w:t>
      </w:r>
    </w:p>
    <w:p>
      <w:pPr>
        <w:pStyle w:val="2"/>
        <w:spacing w:line="316" w:lineRule="auto"/>
        <w:ind w:left="686" w:right="1004" w:firstLine="640"/>
        <w:jc w:val="both"/>
      </w:pPr>
      <w:r>
        <w:rPr>
          <w:spacing w:val="2"/>
          <w:w w:val="95"/>
        </w:rPr>
        <w:t xml:space="preserve">在结业后的重修或补修考试中作弊者，不得再次申请重修 </w:t>
      </w:r>
      <w:r>
        <w:rPr>
          <w:spacing w:val="-1"/>
        </w:rPr>
        <w:t>或补修；结业后一年内仍未达到毕业要求者，不再换发毕业证</w:t>
      </w:r>
      <w:r>
        <w:t>书。</w:t>
      </w:r>
    </w:p>
    <w:p>
      <w:pPr>
        <w:tabs>
          <w:tab w:val="left" w:pos="2932"/>
        </w:tabs>
        <w:spacing w:line="451" w:lineRule="exact"/>
        <w:ind w:left="1327"/>
        <w:rPr>
          <w:sz w:val="32"/>
        </w:rPr>
      </w:pPr>
      <w:r>
        <w:rPr>
          <w:rFonts w:hint="eastAsia" w:ascii="微软雅黑" w:eastAsia="微软雅黑"/>
          <w:b/>
          <w:sz w:val="32"/>
        </w:rPr>
        <w:t>第五十条</w:t>
      </w:r>
      <w:r>
        <w:rPr>
          <w:rFonts w:hint="eastAsia" w:ascii="微软雅黑" w:eastAsia="微软雅黑"/>
          <w:b/>
          <w:sz w:val="32"/>
        </w:rPr>
        <w:tab/>
      </w:r>
      <w:r>
        <w:rPr>
          <w:sz w:val="32"/>
        </w:rPr>
        <w:t>学生毕业证书，毕业时间按发证日期填写。</w:t>
      </w:r>
    </w:p>
    <w:p>
      <w:pPr>
        <w:tabs>
          <w:tab w:val="left" w:pos="3275"/>
        </w:tabs>
        <w:spacing w:line="565" w:lineRule="exact"/>
        <w:ind w:left="1327"/>
        <w:rPr>
          <w:sz w:val="32"/>
        </w:rPr>
      </w:pPr>
      <w:r>
        <w:rPr>
          <w:rFonts w:hint="eastAsia" w:ascii="微软雅黑" w:eastAsia="微软雅黑"/>
          <w:b/>
          <w:spacing w:val="5"/>
          <w:sz w:val="32"/>
        </w:rPr>
        <w:t>第</w:t>
      </w:r>
      <w:r>
        <w:rPr>
          <w:rFonts w:hint="eastAsia" w:ascii="微软雅黑" w:eastAsia="微软雅黑"/>
          <w:b/>
          <w:spacing w:val="7"/>
          <w:sz w:val="32"/>
        </w:rPr>
        <w:t>五</w:t>
      </w:r>
      <w:r>
        <w:rPr>
          <w:rFonts w:hint="eastAsia" w:ascii="微软雅黑" w:eastAsia="微软雅黑"/>
          <w:b/>
          <w:spacing w:val="5"/>
          <w:sz w:val="32"/>
        </w:rPr>
        <w:t>十一</w:t>
      </w:r>
      <w:r>
        <w:rPr>
          <w:rFonts w:hint="eastAsia" w:ascii="微软雅黑" w:eastAsia="微软雅黑"/>
          <w:b/>
          <w:sz w:val="32"/>
        </w:rPr>
        <w:t>条</w:t>
      </w:r>
      <w:r>
        <w:rPr>
          <w:rFonts w:hint="eastAsia" w:ascii="微软雅黑" w:eastAsia="微软雅黑"/>
          <w:b/>
          <w:sz w:val="32"/>
        </w:rPr>
        <w:tab/>
      </w:r>
      <w:r>
        <w:rPr>
          <w:spacing w:val="5"/>
          <w:sz w:val="32"/>
        </w:rPr>
        <w:t>学满</w:t>
      </w:r>
      <w:r>
        <w:rPr>
          <w:sz w:val="32"/>
        </w:rPr>
        <w:t>一</w:t>
      </w:r>
      <w:r>
        <w:rPr>
          <w:spacing w:val="5"/>
          <w:sz w:val="32"/>
        </w:rPr>
        <w:t>学年以</w:t>
      </w:r>
      <w:r>
        <w:rPr>
          <w:sz w:val="32"/>
        </w:rPr>
        <w:t>上</w:t>
      </w:r>
      <w:r>
        <w:rPr>
          <w:spacing w:val="5"/>
          <w:sz w:val="32"/>
        </w:rPr>
        <w:t>退学的学</w:t>
      </w:r>
      <w:r>
        <w:rPr>
          <w:sz w:val="32"/>
        </w:rPr>
        <w:t>生</w:t>
      </w:r>
      <w:r>
        <w:rPr>
          <w:spacing w:val="5"/>
          <w:sz w:val="32"/>
        </w:rPr>
        <w:t>，经学生</w:t>
      </w:r>
      <w:r>
        <w:rPr>
          <w:sz w:val="32"/>
        </w:rPr>
        <w:t>申</w:t>
      </w:r>
      <w:r>
        <w:rPr>
          <w:spacing w:val="5"/>
          <w:sz w:val="32"/>
        </w:rPr>
        <w:t>请</w:t>
      </w:r>
      <w:r>
        <w:rPr>
          <w:sz w:val="32"/>
        </w:rPr>
        <w:t>，</w:t>
      </w:r>
    </w:p>
    <w:p>
      <w:pPr>
        <w:pStyle w:val="2"/>
        <w:spacing w:before="52"/>
        <w:ind w:left="686"/>
        <w:sectPr>
          <w:pgSz w:w="11910" w:h="16840"/>
          <w:pgMar w:top="1500" w:right="580" w:bottom="1100" w:left="900" w:header="0" w:footer="836" w:gutter="0"/>
          <w:cols w:space="720" w:num="1"/>
        </w:sectPr>
      </w:pPr>
      <w:r>
        <w:t>学校发给肄业证书或者写实性学习证明。</w:t>
      </w:r>
    </w:p>
    <w:p>
      <w:pPr>
        <w:tabs>
          <w:tab w:val="left" w:pos="3251"/>
        </w:tabs>
        <w:spacing w:line="523" w:lineRule="exact"/>
        <w:ind w:left="1327"/>
        <w:rPr>
          <w:sz w:val="32"/>
        </w:rPr>
      </w:pPr>
      <w:r>
        <w:rPr>
          <w:rFonts w:hint="eastAsia" w:ascii="微软雅黑" w:eastAsia="微软雅黑"/>
          <w:b/>
          <w:sz w:val="32"/>
        </w:rPr>
        <w:t>第五十二条</w:t>
      </w:r>
      <w:r>
        <w:rPr>
          <w:rFonts w:hint="eastAsia" w:ascii="微软雅黑" w:eastAsia="微软雅黑"/>
          <w:b/>
          <w:sz w:val="32"/>
        </w:rPr>
        <w:tab/>
      </w:r>
      <w:r>
        <w:rPr>
          <w:sz w:val="32"/>
        </w:rPr>
        <w:t>符合学位授予条件者，颁发学位证书。</w:t>
      </w:r>
    </w:p>
    <w:p>
      <w:pPr>
        <w:pStyle w:val="9"/>
        <w:tabs>
          <w:tab w:val="left" w:pos="4893"/>
        </w:tabs>
        <w:spacing w:before="52"/>
        <w:ind w:left="3288"/>
      </w:pPr>
      <w:r>
        <w:t>第十二章</w:t>
      </w:r>
      <w:r>
        <w:tab/>
      </w:r>
      <w:r>
        <w:t>学业证书管理</w:t>
      </w:r>
    </w:p>
    <w:p>
      <w:pPr>
        <w:pStyle w:val="2"/>
        <w:spacing w:before="18" w:line="540" w:lineRule="exact"/>
        <w:ind w:left="686" w:right="1004" w:firstLine="640"/>
        <w:jc w:val="both"/>
      </w:pPr>
      <w:r>
        <w:rPr>
          <w:rFonts w:hint="eastAsia" w:ascii="微软雅黑" w:eastAsia="微软雅黑"/>
          <w:b/>
        </w:rPr>
        <w:t xml:space="preserve">第五十三条 </w:t>
      </w:r>
      <w:r>
        <w:t>学校严格按照招生时确定的办学类型和学习形式，以及学生招生录取时填报的个人信息，填写、颁发学历证书、学位证书及其他学业证书。</w:t>
      </w:r>
    </w:p>
    <w:p>
      <w:pPr>
        <w:pStyle w:val="2"/>
        <w:tabs>
          <w:tab w:val="left" w:pos="3275"/>
        </w:tabs>
        <w:spacing w:before="10" w:line="261" w:lineRule="auto"/>
        <w:ind w:left="686" w:right="1005" w:firstLine="640"/>
      </w:pPr>
      <w:r>
        <w:rPr>
          <w:rFonts w:hint="eastAsia" w:ascii="微软雅黑" w:eastAsia="微软雅黑"/>
          <w:b/>
          <w:spacing w:val="5"/>
        </w:rPr>
        <w:t>第</w:t>
      </w:r>
      <w:r>
        <w:rPr>
          <w:rFonts w:hint="eastAsia" w:ascii="微软雅黑" w:eastAsia="微软雅黑"/>
          <w:b/>
          <w:spacing w:val="7"/>
        </w:rPr>
        <w:t>五</w:t>
      </w:r>
      <w:r>
        <w:rPr>
          <w:rFonts w:hint="eastAsia" w:ascii="微软雅黑" w:eastAsia="微软雅黑"/>
          <w:b/>
          <w:spacing w:val="5"/>
        </w:rPr>
        <w:t>十四</w:t>
      </w:r>
      <w:r>
        <w:rPr>
          <w:rFonts w:hint="eastAsia" w:ascii="微软雅黑" w:eastAsia="微软雅黑"/>
          <w:b/>
        </w:rPr>
        <w:t>条</w:t>
      </w:r>
      <w:r>
        <w:rPr>
          <w:rFonts w:hint="eastAsia" w:ascii="微软雅黑" w:eastAsia="微软雅黑"/>
          <w:b/>
        </w:rPr>
        <w:tab/>
      </w:r>
      <w:r>
        <w:rPr>
          <w:spacing w:val="5"/>
        </w:rPr>
        <w:t>学校</w:t>
      </w:r>
      <w:r>
        <w:t>执</w:t>
      </w:r>
      <w:r>
        <w:rPr>
          <w:spacing w:val="5"/>
        </w:rPr>
        <w:t>行高等</w:t>
      </w:r>
      <w:r>
        <w:t>教</w:t>
      </w:r>
      <w:r>
        <w:rPr>
          <w:spacing w:val="5"/>
        </w:rPr>
        <w:t>育学籍学</w:t>
      </w:r>
      <w:r>
        <w:t>历</w:t>
      </w:r>
      <w:r>
        <w:rPr>
          <w:spacing w:val="5"/>
        </w:rPr>
        <w:t>电子注册</w:t>
      </w:r>
      <w:r>
        <w:t>管</w:t>
      </w:r>
      <w:r>
        <w:rPr>
          <w:spacing w:val="5"/>
        </w:rPr>
        <w:t>理</w:t>
      </w:r>
      <w:r>
        <w:rPr>
          <w:spacing w:val="-14"/>
        </w:rPr>
        <w:t>制</w:t>
      </w:r>
      <w:r>
        <w:t>度，按相关规定及时完成学生学籍学历电子注册。</w:t>
      </w:r>
    </w:p>
    <w:p>
      <w:pPr>
        <w:pStyle w:val="2"/>
        <w:tabs>
          <w:tab w:val="left" w:pos="3275"/>
        </w:tabs>
        <w:spacing w:line="261" w:lineRule="auto"/>
        <w:ind w:left="686" w:right="1005" w:firstLine="640"/>
      </w:pPr>
      <w:r>
        <w:rPr>
          <w:rFonts w:hint="eastAsia" w:ascii="微软雅黑" w:eastAsia="微软雅黑"/>
          <w:b/>
          <w:spacing w:val="5"/>
        </w:rPr>
        <w:t>第</w:t>
      </w:r>
      <w:r>
        <w:rPr>
          <w:rFonts w:hint="eastAsia" w:ascii="微软雅黑" w:eastAsia="微软雅黑"/>
          <w:b/>
          <w:spacing w:val="7"/>
        </w:rPr>
        <w:t>五</w:t>
      </w:r>
      <w:r>
        <w:rPr>
          <w:rFonts w:hint="eastAsia" w:ascii="微软雅黑" w:eastAsia="微软雅黑"/>
          <w:b/>
          <w:spacing w:val="5"/>
        </w:rPr>
        <w:t>十五</w:t>
      </w:r>
      <w:r>
        <w:rPr>
          <w:rFonts w:hint="eastAsia" w:ascii="微软雅黑" w:eastAsia="微软雅黑"/>
          <w:b/>
        </w:rPr>
        <w:t>条</w:t>
      </w:r>
      <w:r>
        <w:rPr>
          <w:rFonts w:hint="eastAsia" w:ascii="微软雅黑" w:eastAsia="微软雅黑"/>
          <w:b/>
        </w:rPr>
        <w:tab/>
      </w:r>
      <w:r>
        <w:rPr>
          <w:spacing w:val="5"/>
        </w:rPr>
        <w:t>对完</w:t>
      </w:r>
      <w:r>
        <w:t>成</w:t>
      </w:r>
      <w:r>
        <w:rPr>
          <w:spacing w:val="5"/>
        </w:rPr>
        <w:t>本专业</w:t>
      </w:r>
      <w:r>
        <w:t>学</w:t>
      </w:r>
      <w:r>
        <w:rPr>
          <w:spacing w:val="5"/>
        </w:rPr>
        <w:t>业同时辅</w:t>
      </w:r>
      <w:r>
        <w:t>修</w:t>
      </w:r>
      <w:r>
        <w:rPr>
          <w:spacing w:val="5"/>
        </w:rPr>
        <w:t>其他专业</w:t>
      </w:r>
      <w:r>
        <w:t>并</w:t>
      </w:r>
      <w:r>
        <w:rPr>
          <w:spacing w:val="5"/>
        </w:rPr>
        <w:t>达</w:t>
      </w:r>
      <w:r>
        <w:rPr>
          <w:spacing w:val="-14"/>
        </w:rPr>
        <w:t>到</w:t>
      </w:r>
      <w:r>
        <w:t>该专业辅修要求的学生，学校发给辅修专业证书。</w:t>
      </w:r>
    </w:p>
    <w:p>
      <w:pPr>
        <w:pStyle w:val="2"/>
        <w:tabs>
          <w:tab w:val="left" w:pos="3275"/>
        </w:tabs>
        <w:spacing w:line="261" w:lineRule="auto"/>
        <w:ind w:left="686" w:right="1004" w:firstLine="640"/>
      </w:pPr>
      <w:r>
        <w:rPr>
          <w:rFonts w:hint="eastAsia" w:ascii="微软雅黑" w:eastAsia="微软雅黑"/>
          <w:b/>
          <w:spacing w:val="5"/>
        </w:rPr>
        <w:t>第</w:t>
      </w:r>
      <w:r>
        <w:rPr>
          <w:rFonts w:hint="eastAsia" w:ascii="微软雅黑" w:eastAsia="微软雅黑"/>
          <w:b/>
          <w:spacing w:val="7"/>
        </w:rPr>
        <w:t>五</w:t>
      </w:r>
      <w:r>
        <w:rPr>
          <w:rFonts w:hint="eastAsia" w:ascii="微软雅黑" w:eastAsia="微软雅黑"/>
          <w:b/>
          <w:spacing w:val="5"/>
        </w:rPr>
        <w:t>十六</w:t>
      </w:r>
      <w:r>
        <w:rPr>
          <w:rFonts w:hint="eastAsia" w:ascii="微软雅黑" w:eastAsia="微软雅黑"/>
          <w:b/>
        </w:rPr>
        <w:t>条</w:t>
      </w:r>
      <w:r>
        <w:rPr>
          <w:rFonts w:hint="eastAsia" w:ascii="微软雅黑" w:eastAsia="微软雅黑"/>
          <w:b/>
        </w:rPr>
        <w:tab/>
      </w:r>
      <w:r>
        <w:rPr>
          <w:spacing w:val="5"/>
        </w:rPr>
        <w:t>对违</w:t>
      </w:r>
      <w:r>
        <w:t>反</w:t>
      </w:r>
      <w:r>
        <w:rPr>
          <w:spacing w:val="5"/>
        </w:rPr>
        <w:t>国家招</w:t>
      </w:r>
      <w:r>
        <w:t>生</w:t>
      </w:r>
      <w:r>
        <w:rPr>
          <w:spacing w:val="5"/>
        </w:rPr>
        <w:t>规定取得</w:t>
      </w:r>
      <w:r>
        <w:t>入</w:t>
      </w:r>
      <w:r>
        <w:rPr>
          <w:spacing w:val="5"/>
        </w:rPr>
        <w:t>学资格或</w:t>
      </w:r>
      <w:r>
        <w:t>者</w:t>
      </w:r>
      <w:r>
        <w:rPr>
          <w:spacing w:val="5"/>
        </w:rPr>
        <w:t>学</w:t>
      </w:r>
      <w:r>
        <w:rPr>
          <w:spacing w:val="-13"/>
        </w:rPr>
        <w:t>籍</w:t>
      </w:r>
      <w:r>
        <w:rPr>
          <w:spacing w:val="5"/>
        </w:rPr>
        <w:t>的，</w:t>
      </w:r>
      <w:r>
        <w:t>学</w:t>
      </w:r>
      <w:r>
        <w:rPr>
          <w:spacing w:val="5"/>
        </w:rPr>
        <w:t>校取消其</w:t>
      </w:r>
      <w:r>
        <w:t>学</w:t>
      </w:r>
      <w:r>
        <w:rPr>
          <w:spacing w:val="5"/>
        </w:rPr>
        <w:t>籍，不予</w:t>
      </w:r>
      <w:r>
        <w:t>发</w:t>
      </w:r>
      <w:r>
        <w:rPr>
          <w:spacing w:val="5"/>
        </w:rPr>
        <w:t>放学历证书</w:t>
      </w:r>
      <w:r>
        <w:t>、</w:t>
      </w:r>
      <w:r>
        <w:rPr>
          <w:spacing w:val="5"/>
        </w:rPr>
        <w:t>学位证书</w:t>
      </w:r>
      <w:r>
        <w:t>；</w:t>
      </w:r>
      <w:r>
        <w:rPr>
          <w:spacing w:val="5"/>
        </w:rPr>
        <w:t>已发</w:t>
      </w:r>
      <w:r>
        <w:rPr>
          <w:spacing w:val="-13"/>
        </w:rPr>
        <w:t>的</w:t>
      </w:r>
    </w:p>
    <w:p>
      <w:pPr>
        <w:pStyle w:val="2"/>
        <w:spacing w:before="73" w:line="316" w:lineRule="auto"/>
        <w:ind w:left="686" w:right="1004"/>
        <w:jc w:val="both"/>
      </w:pPr>
      <w:r>
        <w:t>学历证书、学位证书，学校依法予以撤销。对以作弊、剽窃、抄袭等学术不端行为或者其他不正当手段获得学历证书、学位证书的，学校依法予以撤销。</w:t>
      </w:r>
    </w:p>
    <w:p>
      <w:pPr>
        <w:pStyle w:val="2"/>
        <w:spacing w:line="316" w:lineRule="auto"/>
        <w:ind w:left="686" w:right="1004" w:firstLine="640"/>
      </w:pPr>
      <w:r>
        <w:rPr>
          <w:spacing w:val="2"/>
          <w:w w:val="95"/>
        </w:rPr>
        <w:t xml:space="preserve">被撤销的学历证书、学位证书已注册的，学校予以注销并 </w:t>
      </w:r>
      <w:r>
        <w:t>报教育行政部门宣布无效。</w:t>
      </w:r>
    </w:p>
    <w:p>
      <w:pPr>
        <w:tabs>
          <w:tab w:val="left" w:pos="3275"/>
        </w:tabs>
        <w:spacing w:line="485" w:lineRule="exact"/>
        <w:ind w:left="1327"/>
        <w:rPr>
          <w:sz w:val="32"/>
        </w:rPr>
      </w:pPr>
      <w:r>
        <w:rPr>
          <w:rFonts w:hint="eastAsia" w:ascii="微软雅黑" w:eastAsia="微软雅黑"/>
          <w:b/>
          <w:spacing w:val="5"/>
          <w:sz w:val="32"/>
        </w:rPr>
        <w:t>第</w:t>
      </w:r>
      <w:r>
        <w:rPr>
          <w:rFonts w:hint="eastAsia" w:ascii="微软雅黑" w:eastAsia="微软雅黑"/>
          <w:b/>
          <w:spacing w:val="7"/>
          <w:sz w:val="32"/>
        </w:rPr>
        <w:t>五</w:t>
      </w:r>
      <w:r>
        <w:rPr>
          <w:rFonts w:hint="eastAsia" w:ascii="微软雅黑" w:eastAsia="微软雅黑"/>
          <w:b/>
          <w:spacing w:val="5"/>
          <w:sz w:val="32"/>
        </w:rPr>
        <w:t>十七</w:t>
      </w:r>
      <w:r>
        <w:rPr>
          <w:rFonts w:hint="eastAsia" w:ascii="微软雅黑" w:eastAsia="微软雅黑"/>
          <w:b/>
          <w:sz w:val="32"/>
        </w:rPr>
        <w:t>条</w:t>
      </w:r>
      <w:r>
        <w:rPr>
          <w:rFonts w:hint="eastAsia" w:ascii="微软雅黑" w:eastAsia="微软雅黑"/>
          <w:b/>
          <w:sz w:val="32"/>
        </w:rPr>
        <w:tab/>
      </w:r>
      <w:r>
        <w:rPr>
          <w:spacing w:val="5"/>
          <w:sz w:val="32"/>
        </w:rPr>
        <w:t>毕业</w:t>
      </w:r>
      <w:r>
        <w:rPr>
          <w:sz w:val="32"/>
        </w:rPr>
        <w:t>、</w:t>
      </w:r>
      <w:r>
        <w:rPr>
          <w:spacing w:val="5"/>
          <w:sz w:val="32"/>
        </w:rPr>
        <w:t>结业、</w:t>
      </w:r>
      <w:r>
        <w:rPr>
          <w:sz w:val="32"/>
        </w:rPr>
        <w:t>肄</w:t>
      </w:r>
      <w:r>
        <w:rPr>
          <w:spacing w:val="5"/>
          <w:sz w:val="32"/>
        </w:rPr>
        <w:t>业证书和</w:t>
      </w:r>
      <w:r>
        <w:rPr>
          <w:sz w:val="32"/>
        </w:rPr>
        <w:t>学</w:t>
      </w:r>
      <w:r>
        <w:rPr>
          <w:spacing w:val="5"/>
          <w:sz w:val="32"/>
        </w:rPr>
        <w:t>位证书遗</w:t>
      </w:r>
      <w:r>
        <w:rPr>
          <w:sz w:val="32"/>
        </w:rPr>
        <w:t>失</w:t>
      </w:r>
      <w:r>
        <w:rPr>
          <w:spacing w:val="5"/>
          <w:sz w:val="32"/>
        </w:rPr>
        <w:t>或</w:t>
      </w:r>
      <w:r>
        <w:rPr>
          <w:sz w:val="32"/>
        </w:rPr>
        <w:t>者</w:t>
      </w:r>
    </w:p>
    <w:p>
      <w:pPr>
        <w:pStyle w:val="2"/>
        <w:spacing w:before="49" w:line="316" w:lineRule="auto"/>
        <w:ind w:left="686" w:right="1004"/>
        <w:jc w:val="both"/>
      </w:pPr>
      <w:r>
        <w:t>损坏，经本人申请，学校核实后出具相应的证明书。证明书与原证书具有同等效力。</w:t>
      </w:r>
    </w:p>
    <w:p>
      <w:pPr>
        <w:pStyle w:val="9"/>
        <w:tabs>
          <w:tab w:val="left" w:pos="5536"/>
        </w:tabs>
        <w:spacing w:line="408" w:lineRule="exact"/>
        <w:ind w:left="3928"/>
      </w:pPr>
      <w:r>
        <w:t>第十三章</w:t>
      </w:r>
      <w:r>
        <w:tab/>
      </w:r>
      <w:r>
        <w:t>附则</w:t>
      </w:r>
    </w:p>
    <w:p>
      <w:pPr>
        <w:pStyle w:val="2"/>
        <w:tabs>
          <w:tab w:val="left" w:pos="3275"/>
        </w:tabs>
        <w:spacing w:before="27" w:line="261" w:lineRule="auto"/>
        <w:ind w:left="686" w:right="1005" w:firstLine="640"/>
      </w:pPr>
      <w:r>
        <w:rPr>
          <w:rFonts w:hint="eastAsia" w:ascii="微软雅黑" w:hAnsi="微软雅黑" w:eastAsia="微软雅黑"/>
          <w:b/>
          <w:spacing w:val="5"/>
        </w:rPr>
        <w:t>第五</w:t>
      </w:r>
      <w:r>
        <w:rPr>
          <w:rFonts w:hint="eastAsia" w:ascii="微软雅黑" w:hAnsi="微软雅黑" w:eastAsia="微软雅黑"/>
          <w:b/>
          <w:spacing w:val="7"/>
        </w:rPr>
        <w:t>十</w:t>
      </w:r>
      <w:r>
        <w:rPr>
          <w:rFonts w:hint="eastAsia" w:ascii="微软雅黑" w:hAnsi="微软雅黑" w:eastAsia="微软雅黑"/>
          <w:b/>
          <w:spacing w:val="5"/>
        </w:rPr>
        <w:t>八</w:t>
      </w:r>
      <w:r>
        <w:rPr>
          <w:rFonts w:hint="eastAsia" w:ascii="微软雅黑" w:hAnsi="微软雅黑" w:eastAsia="微软雅黑"/>
          <w:b/>
        </w:rPr>
        <w:t>条</w:t>
      </w:r>
      <w:r>
        <w:rPr>
          <w:rFonts w:hint="eastAsia" w:ascii="微软雅黑" w:hAnsi="微软雅黑" w:eastAsia="微软雅黑"/>
          <w:b/>
        </w:rPr>
        <w:tab/>
      </w:r>
      <w:r>
        <w:rPr>
          <w:spacing w:val="5"/>
        </w:rPr>
        <w:t>本</w:t>
      </w:r>
      <w:r>
        <w:t>细</w:t>
      </w:r>
      <w:r>
        <w:rPr>
          <w:spacing w:val="5"/>
        </w:rPr>
        <w:t>则文字</w:t>
      </w:r>
      <w:r>
        <w:t>中</w:t>
      </w:r>
      <w:r>
        <w:rPr>
          <w:spacing w:val="5"/>
        </w:rPr>
        <w:t>的“以</w:t>
      </w:r>
      <w:r>
        <w:t>上</w:t>
      </w:r>
      <w:r>
        <w:rPr>
          <w:spacing w:val="-156"/>
        </w:rPr>
        <w:t>”、</w:t>
      </w:r>
      <w:r>
        <w:rPr>
          <w:spacing w:val="5"/>
        </w:rPr>
        <w:t>“以</w:t>
      </w:r>
      <w:r>
        <w:t>下</w:t>
      </w:r>
      <w:r>
        <w:rPr>
          <w:spacing w:val="5"/>
        </w:rPr>
        <w:t>”均</w:t>
      </w:r>
      <w:r>
        <w:t>包</w:t>
      </w:r>
      <w:r>
        <w:rPr>
          <w:spacing w:val="5"/>
        </w:rPr>
        <w:t>括</w:t>
      </w:r>
      <w:r>
        <w:rPr>
          <w:spacing w:val="-13"/>
        </w:rPr>
        <w:t>本</w:t>
      </w:r>
      <w:r>
        <w:t>数（本级）在内。</w:t>
      </w:r>
    </w:p>
    <w:p>
      <w:pPr>
        <w:pStyle w:val="2"/>
        <w:tabs>
          <w:tab w:val="left" w:pos="3278"/>
        </w:tabs>
        <w:spacing w:line="580" w:lineRule="exact"/>
        <w:ind w:left="1327"/>
      </w:pPr>
      <w:r>
        <w:rPr>
          <w:rFonts w:hint="eastAsia" w:ascii="微软雅黑" w:eastAsia="微软雅黑"/>
          <w:b/>
          <w:spacing w:val="5"/>
        </w:rPr>
        <w:t>第</w:t>
      </w:r>
      <w:r>
        <w:rPr>
          <w:rFonts w:hint="eastAsia" w:ascii="微软雅黑" w:eastAsia="微软雅黑"/>
          <w:b/>
          <w:spacing w:val="7"/>
        </w:rPr>
        <w:t>五</w:t>
      </w:r>
      <w:r>
        <w:rPr>
          <w:rFonts w:hint="eastAsia" w:ascii="微软雅黑" w:eastAsia="微软雅黑"/>
          <w:b/>
          <w:spacing w:val="5"/>
        </w:rPr>
        <w:t>十</w:t>
      </w:r>
      <w:r>
        <w:rPr>
          <w:rFonts w:hint="eastAsia" w:ascii="微软雅黑" w:eastAsia="微软雅黑"/>
          <w:b/>
          <w:spacing w:val="7"/>
        </w:rPr>
        <w:t>九</w:t>
      </w:r>
      <w:r>
        <w:rPr>
          <w:rFonts w:hint="eastAsia" w:ascii="微软雅黑" w:eastAsia="微软雅黑"/>
          <w:b/>
        </w:rPr>
        <w:t>条</w:t>
      </w:r>
      <w:r>
        <w:rPr>
          <w:rFonts w:hint="eastAsia" w:ascii="微软雅黑" w:eastAsia="微软雅黑"/>
          <w:b/>
        </w:rPr>
        <w:tab/>
      </w:r>
      <w:r>
        <w:rPr>
          <w:spacing w:val="5"/>
        </w:rPr>
        <w:t>本细则</w:t>
      </w:r>
      <w:r>
        <w:t>经</w:t>
      </w:r>
      <w:r>
        <w:rPr>
          <w:spacing w:val="-77"/>
        </w:rPr>
        <w:t xml:space="preserve"> </w:t>
      </w:r>
      <w:r>
        <w:t>2017</w:t>
      </w:r>
      <w:r>
        <w:rPr>
          <w:spacing w:val="-76"/>
        </w:rPr>
        <w:t xml:space="preserve"> </w:t>
      </w:r>
      <w:r>
        <w:t>年</w:t>
      </w:r>
      <w:r>
        <w:rPr>
          <w:spacing w:val="-77"/>
        </w:rPr>
        <w:t xml:space="preserve"> </w:t>
      </w:r>
      <w:r>
        <w:t>7</w:t>
      </w:r>
      <w:r>
        <w:rPr>
          <w:spacing w:val="-75"/>
        </w:rPr>
        <w:t xml:space="preserve"> </w:t>
      </w:r>
      <w:r>
        <w:t>月</w:t>
      </w:r>
      <w:r>
        <w:rPr>
          <w:spacing w:val="-77"/>
        </w:rPr>
        <w:t xml:space="preserve"> </w:t>
      </w:r>
      <w:r>
        <w:t>20</w:t>
      </w:r>
      <w:r>
        <w:rPr>
          <w:spacing w:val="-79"/>
        </w:rPr>
        <w:t xml:space="preserve"> </w:t>
      </w:r>
      <w:r>
        <w:rPr>
          <w:spacing w:val="5"/>
        </w:rPr>
        <w:t>日校长办公</w:t>
      </w:r>
      <w:r>
        <w:t>会</w:t>
      </w:r>
      <w:r>
        <w:rPr>
          <w:spacing w:val="5"/>
        </w:rPr>
        <w:t>议</w:t>
      </w:r>
      <w:r>
        <w:t>审</w:t>
      </w:r>
    </w:p>
    <w:p>
      <w:pPr>
        <w:pStyle w:val="2"/>
        <w:spacing w:before="53" w:line="316" w:lineRule="auto"/>
        <w:ind w:left="686" w:right="1005"/>
      </w:pPr>
      <w:r>
        <w:rPr>
          <w:spacing w:val="-18"/>
        </w:rPr>
        <w:t xml:space="preserve">议通过，自 </w:t>
      </w:r>
      <w:r>
        <w:t>2017</w:t>
      </w:r>
      <w:r>
        <w:rPr>
          <w:spacing w:val="-56"/>
        </w:rPr>
        <w:t xml:space="preserve"> 年 </w:t>
      </w:r>
      <w:r>
        <w:t>9</w:t>
      </w:r>
      <w:r>
        <w:rPr>
          <w:spacing w:val="-55"/>
        </w:rPr>
        <w:t xml:space="preserve"> 月 </w:t>
      </w:r>
      <w:r>
        <w:t>1</w:t>
      </w:r>
      <w:r>
        <w:rPr>
          <w:spacing w:val="-12"/>
        </w:rPr>
        <w:t xml:space="preserve"> 日起施行，由教务处负责解释。学校原有关文件规定与本细则不一致的，以本细则为准。</w:t>
      </w:r>
    </w:p>
    <w:p>
      <w:pPr>
        <w:pStyle w:val="2"/>
        <w:spacing w:line="316" w:lineRule="auto"/>
        <w:ind w:left="686" w:right="1004" w:firstLine="640"/>
        <w:jc w:val="both"/>
        <w:rPr>
          <w:spacing w:val="2"/>
          <w:w w:val="95"/>
        </w:rPr>
      </w:pPr>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F12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Layout w:type="fixed"/>
      <w:tblCellMar>
        <w:top w:w="0" w:type="dxa"/>
        <w:left w:w="108" w:type="dxa"/>
        <w:bottom w:w="0" w:type="dxa"/>
        <w:right w:w="108" w:type="dxa"/>
      </w:tblCellMar>
    </w:tblPr>
  </w:style>
  <w:style w:type="paragraph" w:styleId="2">
    <w:name w:val="Body Text"/>
    <w:basedOn w:val="1"/>
    <w:link w:val="6"/>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宋体" w:eastAsia="宋体" w:cs="宋体"/>
      <w:kern w:val="0"/>
      <w:sz w:val="32"/>
      <w:szCs w:val="32"/>
      <w:lang w:val="en-US" w:eastAsia="zh-CN" w:bidi="ar"/>
    </w:rPr>
  </w:style>
  <w:style w:type="paragraph" w:customStyle="1" w:styleId="5">
    <w:name w:val="msolistparagraph"/>
    <w:basedOn w:val="1"/>
    <w:uiPriority w:val="0"/>
    <w:pPr>
      <w:keepNext w:val="0"/>
      <w:keepLines w:val="0"/>
      <w:widowControl w:val="0"/>
      <w:suppressLineNumbers w:val="0"/>
      <w:autoSpaceDE w:val="0"/>
      <w:autoSpaceDN w:val="0"/>
      <w:spacing w:before="0" w:beforeAutospacing="0" w:after="0" w:afterAutospacing="0"/>
      <w:ind w:left="631" w:right="0" w:firstLine="641"/>
      <w:jc w:val="left"/>
    </w:pPr>
    <w:rPr>
      <w:rFonts w:hint="eastAsia" w:ascii="宋体" w:hAnsi="宋体" w:eastAsia="宋体" w:cs="宋体"/>
      <w:kern w:val="0"/>
      <w:sz w:val="22"/>
      <w:szCs w:val="22"/>
      <w:lang w:val="en-US" w:eastAsia="zh-CN" w:bidi="ar"/>
    </w:rPr>
  </w:style>
  <w:style w:type="character" w:customStyle="1" w:styleId="6">
    <w:name w:val="正文文本 Char"/>
    <w:basedOn w:val="4"/>
    <w:link w:val="2"/>
    <w:uiPriority w:val="0"/>
    <w:rPr>
      <w:rFonts w:hint="eastAsia" w:ascii="宋体" w:hAnsi="宋体" w:eastAsia="宋体" w:cs="宋体"/>
      <w:kern w:val="0"/>
      <w:sz w:val="32"/>
      <w:szCs w:val="32"/>
      <w:lang w:val="zh-CN" w:bidi="zh-CN"/>
    </w:rPr>
  </w:style>
  <w:style w:type="paragraph" w:customStyle="1" w:styleId="7">
    <w:name w:val="Heading 4"/>
    <w:basedOn w:val="1"/>
    <w:qFormat/>
    <w:uiPriority w:val="1"/>
    <w:pPr>
      <w:spacing w:before="14"/>
      <w:outlineLvl w:val="4"/>
    </w:pPr>
    <w:rPr>
      <w:b/>
      <w:bCs/>
      <w:sz w:val="44"/>
      <w:szCs w:val="44"/>
    </w:rPr>
  </w:style>
  <w:style w:type="paragraph" w:customStyle="1" w:styleId="8">
    <w:name w:val="Heading 5"/>
    <w:basedOn w:val="1"/>
    <w:qFormat/>
    <w:uiPriority w:val="1"/>
    <w:pPr>
      <w:outlineLvl w:val="5"/>
    </w:pPr>
    <w:rPr>
      <w:b/>
      <w:bCs/>
      <w:sz w:val="36"/>
      <w:szCs w:val="36"/>
    </w:rPr>
  </w:style>
  <w:style w:type="paragraph" w:customStyle="1" w:styleId="9">
    <w:name w:val="Heading 6"/>
    <w:basedOn w:val="1"/>
    <w:qFormat/>
    <w:uiPriority w:val="1"/>
    <w:pPr>
      <w:ind w:left="1271"/>
      <w:outlineLvl w:val="6"/>
    </w:pPr>
    <w:rPr>
      <w:rFonts w:ascii="黑体" w:hAnsi="黑体" w:eastAsia="黑体" w:cs="黑体"/>
      <w:b/>
      <w:bCs/>
      <w:sz w:val="32"/>
      <w:szCs w:val="32"/>
    </w:rPr>
  </w:style>
  <w:style w:type="paragraph" w:customStyle="1" w:styleId="10">
    <w:name w:val="Table Paragraph"/>
    <w:basedOn w:val="1"/>
    <w:qFormat/>
    <w:uiPriority w:val="1"/>
  </w:style>
  <w:style w:type="table" w:customStyle="1" w:styleId="11">
    <w:name w:val="Table Normal"/>
    <w:semiHidden/>
    <w:unhideWhenUsed/>
    <w:qFormat/>
    <w:uiPriority w:val="2"/>
    <w:pPr>
      <w:widowControl w:val="0"/>
      <w:autoSpaceDE w:val="0"/>
      <w:autoSpaceDN w:val="0"/>
    </w:pPr>
    <w:rPr>
      <w:kern w:val="0"/>
      <w:sz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user99</dc:creator>
  <cp:lastModifiedBy>七月</cp:lastModifiedBy>
  <dcterms:modified xsi:type="dcterms:W3CDTF">2019-06-26T03:01:03Z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